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63198">
      <w:pPr>
        <w:jc w:val="center"/>
        <w:rPr>
          <w:rFonts w:eastAsia="宋体"/>
          <w:b/>
          <w:bCs/>
          <w:color w:val="FF0000"/>
          <w:spacing w:val="30"/>
          <w:sz w:val="84"/>
          <w:szCs w:val="84"/>
        </w:rPr>
      </w:pPr>
      <w:bookmarkStart w:id="11" w:name="_GoBack"/>
      <w:bookmarkEnd w:id="11"/>
      <w:r>
        <w:rPr>
          <w:rFonts w:hint="eastAsia" w:eastAsia="宋体"/>
          <w:b/>
          <w:bCs/>
          <w:color w:val="FF0000"/>
          <w:spacing w:val="30"/>
          <w:sz w:val="84"/>
          <w:szCs w:val="84"/>
        </w:rPr>
        <w:pict>
          <v:rect id="KGD_Gobal1" o:spid="_x0000_s1047" o:spt="1" alt="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" style="position:absolute;left:0pt;margin-left:-10pt;margin-top:10pt;height:5pt;width:5pt;visibility:hidden;z-index:251666432;mso-width-relative:page;mso-height-relative:page;" coordsize="21600,21600">
            <v:path/>
            <v:fill focussize="0,0"/>
            <v:stroke/>
            <v:imagedata o:title=""/>
            <o:lock v:ext="edit"/>
          </v:rect>
        </w:pict>
      </w:r>
      <w:r>
        <w:rPr>
          <w:rFonts w:hint="eastAsia" w:eastAsia="宋体"/>
          <w:b/>
          <w:bCs/>
          <w:color w:val="FF0000"/>
          <w:spacing w:val="30"/>
          <w:sz w:val="84"/>
          <w:szCs w:val="84"/>
        </w:rPr>
        <w:pict>
          <v:rect id="KGD_6927C2C8$01$43$00001" o:spid="_x0000_s1044" o:spt="1" alt="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" style="position:absolute;left:0pt;margin-left:-10pt;margin-top:10pt;height:5pt;width:5pt;visibility:hidden;z-index:251664384;mso-width-relative:page;mso-height-relative:page;" coordsize="21600,21600">
            <v:path/>
            <v:fill focussize="0,0"/>
            <v:stroke/>
            <v:imagedata o:title=""/>
            <o:lock v:ext="edit"/>
          </v:rect>
        </w:pict>
      </w:r>
      <w:r>
        <w:rPr>
          <w:rFonts w:hint="eastAsia" w:eastAsia="宋体"/>
          <w:b/>
          <w:bCs/>
          <w:color w:val="FF0000"/>
          <w:spacing w:val="30"/>
          <w:sz w:val="84"/>
          <w:szCs w:val="84"/>
        </w:rPr>
        <w:pict>
          <v:rect id="KGD_KG_Seal_14" o:spid="_x0000_s1043" o:spt="1" alt="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" style="position:absolute;left:0pt;margin-left:-10pt;margin-top:10pt;height:5pt;width:5pt;visibility:hidden;z-index:251663360;mso-width-relative:page;mso-height-relative:page;" coordsize="21600,21600">
            <v:path/>
            <v:fill focussize="0,0"/>
            <v:stroke/>
            <v:imagedata o:title=""/>
            <o:lock v:ext="edit"/>
          </v:rect>
        </w:pict>
      </w:r>
      <w:r>
        <w:rPr>
          <w:rFonts w:hint="eastAsia" w:eastAsia="宋体"/>
          <w:b/>
          <w:bCs/>
          <w:color w:val="FF0000"/>
          <w:spacing w:val="30"/>
          <w:sz w:val="84"/>
          <w:szCs w:val="84"/>
        </w:rPr>
        <w:pict>
          <v:rect id="KGD_KG_Seal_13" o:spid="_x0000_s1042" o:spt="1" alt="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" style="position:absolute;left:0pt;margin-left:-10pt;margin-top:10pt;height:5pt;width:5pt;visibility:hidden;z-index:251662336;mso-width-relative:page;mso-height-relative:page;" coordsize="21600,21600">
            <v:path/>
            <v:fill focussize="0,0"/>
            <v:stroke/>
            <v:imagedata o:title=""/>
            <o:lock v:ext="edit"/>
          </v:rect>
        </w:pict>
      </w:r>
      <w:r>
        <w:rPr>
          <w:rFonts w:hint="eastAsia" w:eastAsia="宋体"/>
          <w:b/>
          <w:bCs/>
          <w:color w:val="FF0000"/>
          <w:spacing w:val="30"/>
          <w:sz w:val="84"/>
          <w:szCs w:val="84"/>
        </w:rPr>
        <w:pict>
          <v:rect id="KGD_KG_Seal_12" o:spid="_x0000_s1041" o:spt="1" alt="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" style="position:absolute;left:0pt;margin-left:-10pt;margin-top:10pt;height:5pt;width:5pt;visibility:hidden;z-index:251661312;mso-width-relative:page;mso-height-relative:page;" coordsize="21600,21600">
            <v:path/>
            <v:fill focussize="0,0"/>
            <v:stroke/>
            <v:imagedata o:title=""/>
            <o:lock v:ext="edit"/>
          </v:rect>
        </w:pict>
      </w:r>
      <w:r>
        <w:rPr>
          <w:rFonts w:hint="eastAsia" w:eastAsia="宋体"/>
          <w:b/>
          <w:bCs/>
          <w:color w:val="FF0000"/>
          <w:spacing w:val="30"/>
          <w:sz w:val="84"/>
          <w:szCs w:val="84"/>
        </w:rPr>
        <w:pict>
          <v:rect id="KGD_KG_Seal_11" o:spid="_x0000_s1040" o:spt="1" alt="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" style="position:absolute;left:0pt;margin-left:-10pt;margin-top:10pt;height:5pt;width:5pt;visibility:hidden;z-index:251660288;mso-width-relative:page;mso-height-relative:page;" coordsize="21600,21600">
            <v:path/>
            <v:fill focussize="0,0"/>
            <v:stroke/>
            <v:imagedata o:title=""/>
            <o:lock v:ext="edit"/>
          </v:rect>
        </w:pict>
      </w:r>
      <w:r>
        <w:rPr>
          <w:rFonts w:hint="eastAsia" w:eastAsia="宋体"/>
          <w:b/>
          <w:bCs/>
          <w:color w:val="FF0000"/>
          <w:spacing w:val="30"/>
          <w:sz w:val="84"/>
          <w:szCs w:val="84"/>
        </w:rPr>
        <w:pict>
          <v:rect id="KG_Shd_1" o:spid="_x0000_s1038" o:spt="1" style="position:absolute;left:0pt;margin-left:-297.65pt;margin-top:-421pt;height:1584pt;width:1190.7pt;z-index:251665408;mso-width-relative:page;mso-height-relative:page;" stroked="t" coordsize="21600,21600">
            <v:path/>
            <v:fill opacity="0f" focussize="0,0"/>
            <v:stroke color="#FFFFFF" opacity="0f"/>
            <v:imagedata o:title=""/>
            <o:lock v:ext="edit"/>
          </v:rect>
        </w:pict>
      </w:r>
      <w:r>
        <w:rPr>
          <w:rFonts w:hint="eastAsia" w:eastAsia="宋体"/>
          <w:b/>
          <w:bCs/>
          <w:color w:val="FF0000"/>
          <w:spacing w:val="30"/>
          <w:sz w:val="84"/>
          <w:szCs w:val="84"/>
        </w:rPr>
        <w:pict>
          <v:shape id="KG_6927C2C8$01$43$0000$N$000100" o:spid="_x0000_s1037" o:spt="75" type="#_x0000_t75" style="position:absolute;left:0pt;margin-left:329.55pt;margin-top:583pt;height:113.35pt;width:113.35pt;mso-position-horizontal-relative:page;mso-position-vertical-relative:page;z-index:251659264;mso-width-relative:page;mso-height-relative:page;" filled="f" o:preferrelative="t" stroked="f" coordsize="21600,21600">
            <v:path/>
            <v:fill on="f" focussize="0,0"/>
            <v:stroke on="f" joinstyle="miter"/>
            <v:imagedata r:id="rId8" o:title="Seal"/>
            <o:lock v:ext="edit" aspectratio="t"/>
            <w10:anchorlock/>
          </v:shape>
        </w:pict>
      </w:r>
      <w:r>
        <w:rPr>
          <w:rFonts w:hint="eastAsia" w:eastAsia="宋体"/>
          <w:b/>
          <w:bCs/>
          <w:color w:val="FF0000"/>
          <w:spacing w:val="30"/>
          <w:sz w:val="84"/>
          <w:szCs w:val="84"/>
        </w:rPr>
        <w:t>福建中医药大学文件</w:t>
      </w:r>
    </w:p>
    <w:p w14:paraId="648567E6">
      <w:pPr>
        <w:adjustRightInd w:val="0"/>
        <w:snapToGrid w:val="0"/>
        <w:jc w:val="center"/>
        <w:outlineLvl w:val="0"/>
        <w:rPr>
          <w:rFonts w:ascii="仿宋" w:hAnsi="仿宋" w:eastAsia="仿宋"/>
        </w:rPr>
      </w:pPr>
    </w:p>
    <w:p w14:paraId="4DD7E34E">
      <w:pPr>
        <w:adjustRightInd w:val="0"/>
        <w:snapToGrid w:val="0"/>
        <w:jc w:val="center"/>
        <w:outlineLvl w:val="0"/>
        <w:rPr>
          <w:rFonts w:ascii="仿宋" w:hAnsi="仿宋" w:eastAsia="仿宋"/>
          <w:bCs/>
          <w:spacing w:val="-20"/>
        </w:rPr>
      </w:pPr>
      <w:bookmarkStart w:id="0" w:name="doc_mark"/>
      <w:r>
        <w:rPr>
          <w:rFonts w:hint="eastAsia" w:ascii="仿宋" w:hAnsi="仿宋" w:eastAsia="仿宋"/>
          <w:bCs/>
          <w:spacing w:val="-20"/>
        </w:rPr>
        <w:t>闽中医资〔</w:t>
      </w:r>
      <w:r>
        <w:rPr>
          <w:rFonts w:ascii="仿宋" w:hAnsi="仿宋" w:eastAsia="仿宋"/>
          <w:bCs/>
          <w:spacing w:val="-20"/>
        </w:rPr>
        <w:t>2025〕9号</w:t>
      </w:r>
      <w:bookmarkEnd w:id="0"/>
    </w:p>
    <w:p w14:paraId="4D7191F2">
      <w:pPr>
        <w:rPr>
          <w:rFonts w:ascii="宋体" w:hAnsi="宋体" w:eastAsia="宋体"/>
          <w:b/>
          <w:bCs/>
          <w:color w:val="FF0000"/>
          <w:spacing w:val="-20"/>
        </w:rPr>
      </w:pPr>
      <w:r>
        <w:rPr>
          <w:rFonts w:ascii="宋体" w:hAnsi="宋体" w:eastAsia="宋体"/>
          <w:b/>
          <w:bCs/>
          <w:color w:val="FF0000"/>
          <w:spacing w:val="-20"/>
        </w:rPr>
        <w:pict>
          <v:line id="_x0000_s1035" o:spid="_x0000_s1035" o:spt="20" style="position:absolute;left:0pt;margin-left:6pt;margin-top:13.75pt;height:0.25pt;width:437pt;z-index:251659264;mso-width-relative:page;mso-height-relative:page;" stroked="t" coordsize="21600,21600">
            <v:path arrowok="t"/>
            <v:fill focussize="0,0"/>
            <v:stroke weight="2.25pt" color="#FF0000"/>
            <v:imagedata o:title=""/>
            <o:lock v:ext="edit"/>
          </v:line>
        </w:pict>
      </w:r>
    </w:p>
    <w:p w14:paraId="09F17999">
      <w:pPr>
        <w:pStyle w:val="4"/>
        <w:kinsoku w:val="0"/>
        <w:overflowPunct w:val="0"/>
        <w:autoSpaceDE w:val="0"/>
        <w:autoSpaceDN w:val="0"/>
        <w:adjustRightInd w:val="0"/>
        <w:ind w:firstLine="0"/>
        <w:jc w:val="center"/>
        <w:rPr>
          <w:rFonts w:ascii="宋体" w:hAnsi="宋体" w:eastAsia="宋体"/>
          <w:b/>
          <w:sz w:val="44"/>
          <w:szCs w:val="44"/>
        </w:rPr>
      </w:pPr>
    </w:p>
    <w:p w14:paraId="42FEE4AA">
      <w:pPr>
        <w:ind w:left="3054" w:hanging="3052" w:hangingChars="700"/>
        <w:jc w:val="center"/>
        <w:rPr>
          <w:rFonts w:ascii="宋体" w:hAnsi="宋体" w:eastAsia="宋体" w:cs="宋体"/>
          <w:b/>
          <w:bCs/>
          <w:sz w:val="44"/>
          <w:szCs w:val="44"/>
        </w:rPr>
      </w:pPr>
      <w:bookmarkStart w:id="1" w:name="Content"/>
      <w:bookmarkEnd w:id="1"/>
      <w:bookmarkStart w:id="2" w:name="send_to"/>
      <w:bookmarkEnd w:id="2"/>
      <w:r>
        <w:rPr>
          <w:rFonts w:hint="eastAsia" w:ascii="宋体" w:hAnsi="宋体" w:eastAsia="宋体" w:cs="宋体"/>
          <w:b/>
          <w:bCs/>
          <w:sz w:val="44"/>
          <w:szCs w:val="44"/>
        </w:rPr>
        <w:t>福建中医药大学关于印发</w:t>
      </w:r>
    </w:p>
    <w:p w14:paraId="1BE88C16">
      <w:pPr>
        <w:ind w:left="3054" w:hanging="3052" w:hangingChars="700"/>
        <w:jc w:val="center"/>
        <w:rPr>
          <w:rFonts w:ascii="宋体" w:hAnsi="宋体" w:eastAsia="宋体" w:cs="宋体"/>
          <w:b/>
          <w:bCs/>
          <w:sz w:val="44"/>
          <w:szCs w:val="44"/>
        </w:rPr>
      </w:pPr>
      <w:r>
        <w:rPr>
          <w:rFonts w:hint="eastAsia" w:ascii="宋体" w:hAnsi="宋体" w:eastAsia="宋体" w:cs="宋体"/>
          <w:b/>
          <w:bCs/>
          <w:sz w:val="44"/>
          <w:szCs w:val="44"/>
        </w:rPr>
        <w:t>《</w:t>
      </w:r>
      <w:r>
        <w:rPr>
          <w:rFonts w:hint="eastAsia" w:ascii="宋体" w:hAnsi="宋体" w:eastAsia="宋体" w:cs="宋体"/>
          <w:b/>
          <w:bCs/>
          <w:kern w:val="0"/>
          <w:sz w:val="44"/>
          <w:szCs w:val="44"/>
        </w:rPr>
        <w:t>福建中医药大学</w:t>
      </w:r>
      <w:r>
        <w:rPr>
          <w:rFonts w:hint="eastAsia" w:ascii="宋体" w:hAnsi="宋体" w:eastAsia="宋体" w:cs="宋体"/>
          <w:b/>
          <w:bCs/>
          <w:sz w:val="44"/>
          <w:szCs w:val="44"/>
        </w:rPr>
        <w:t>耗材供应商监督</w:t>
      </w:r>
    </w:p>
    <w:p w14:paraId="38ECD988">
      <w:pPr>
        <w:ind w:left="3054" w:hanging="3052" w:hangingChars="700"/>
        <w:jc w:val="center"/>
        <w:rPr>
          <w:rFonts w:ascii="宋体" w:hAnsi="宋体" w:eastAsia="宋体" w:cs="宋体"/>
          <w:b/>
          <w:bCs/>
          <w:sz w:val="44"/>
          <w:szCs w:val="44"/>
        </w:rPr>
      </w:pPr>
      <w:r>
        <w:rPr>
          <w:rFonts w:hint="eastAsia" w:ascii="宋体" w:hAnsi="宋体" w:eastAsia="宋体" w:cs="宋体"/>
          <w:b/>
          <w:bCs/>
          <w:sz w:val="44"/>
          <w:szCs w:val="44"/>
        </w:rPr>
        <w:t>管理办法（试行）》的通知</w:t>
      </w:r>
    </w:p>
    <w:p w14:paraId="7E1B3F1B">
      <w:pPr>
        <w:rPr>
          <w:rFonts w:ascii="等线" w:hAnsi="等线" w:cs="Helvetica"/>
          <w:b/>
          <w:sz w:val="44"/>
          <w:szCs w:val="44"/>
        </w:rPr>
      </w:pPr>
    </w:p>
    <w:p w14:paraId="5C91E85A">
      <w:pPr>
        <w:spacing w:line="600" w:lineRule="exact"/>
        <w:rPr>
          <w:rFonts w:ascii="仿宋" w:hAnsi="仿宋" w:eastAsia="仿宋" w:cs="宋体"/>
          <w:szCs w:val="32"/>
        </w:rPr>
      </w:pPr>
      <w:r>
        <w:rPr>
          <w:rFonts w:hint="eastAsia" w:ascii="仿宋" w:hAnsi="仿宋" w:eastAsia="仿宋" w:cs="宋体"/>
          <w:szCs w:val="32"/>
        </w:rPr>
        <w:t>各学院(部)，各处、室，各直属机构，各附属单位:</w:t>
      </w:r>
    </w:p>
    <w:p w14:paraId="27ED82DF">
      <w:pPr>
        <w:spacing w:line="600" w:lineRule="exact"/>
        <w:ind w:firstLine="632" w:firstLineChars="200"/>
        <w:rPr>
          <w:rFonts w:ascii="仿宋" w:hAnsi="仿宋" w:eastAsia="仿宋" w:cs="宋体"/>
          <w:szCs w:val="32"/>
        </w:rPr>
      </w:pPr>
      <w:r>
        <w:rPr>
          <w:rFonts w:hint="eastAsia" w:ascii="仿宋" w:hAnsi="仿宋" w:eastAsia="仿宋" w:cs="仿宋"/>
          <w:szCs w:val="32"/>
        </w:rPr>
        <w:t>《</w:t>
      </w:r>
      <w:r>
        <w:rPr>
          <w:rFonts w:hint="eastAsia" w:ascii="仿宋" w:hAnsi="仿宋" w:eastAsia="仿宋" w:cs="仿宋"/>
          <w:kern w:val="0"/>
          <w:szCs w:val="32"/>
        </w:rPr>
        <w:t>福建中医药大学</w:t>
      </w:r>
      <w:r>
        <w:rPr>
          <w:rFonts w:hint="eastAsia" w:ascii="仿宋" w:hAnsi="仿宋" w:eastAsia="仿宋" w:cs="仿宋"/>
          <w:szCs w:val="32"/>
        </w:rPr>
        <w:t>耗材供应商监督管理办法（试行）》</w:t>
      </w:r>
      <w:r>
        <w:rPr>
          <w:rFonts w:hint="eastAsia" w:ascii="仿宋" w:hAnsi="仿宋" w:eastAsia="仿宋" w:cs="宋体"/>
          <w:szCs w:val="32"/>
        </w:rPr>
        <w:t>经校长办公会2025年第</w:t>
      </w:r>
      <w:r>
        <w:rPr>
          <w:rFonts w:hint="eastAsia" w:ascii="仿宋" w:hAnsi="仿宋" w:eastAsia="仿宋" w:cs="宋体"/>
          <w:color w:val="000000"/>
          <w:szCs w:val="32"/>
        </w:rPr>
        <w:t>25</w:t>
      </w:r>
      <w:r>
        <w:rPr>
          <w:rFonts w:hint="eastAsia" w:ascii="仿宋" w:hAnsi="仿宋" w:eastAsia="仿宋" w:cs="宋体"/>
          <w:szCs w:val="32"/>
        </w:rPr>
        <w:t>次会议审议通过，现予以印发，请遵照执行。</w:t>
      </w:r>
    </w:p>
    <w:p w14:paraId="06A24356">
      <w:pPr>
        <w:spacing w:line="600" w:lineRule="exact"/>
        <w:ind w:firstLine="632" w:firstLineChars="200"/>
        <w:rPr>
          <w:rFonts w:ascii="黑体" w:hAnsi="黑体" w:eastAsia="黑体" w:cs="黑体"/>
          <w:szCs w:val="32"/>
        </w:rPr>
      </w:pPr>
      <w:r>
        <w:rPr>
          <w:rFonts w:hint="eastAsia" w:ascii="仿宋" w:hAnsi="仿宋" w:eastAsia="仿宋" w:cs="仿宋"/>
          <w:szCs w:val="32"/>
        </w:rPr>
        <w:t>特此通知。</w:t>
      </w:r>
    </w:p>
    <w:p w14:paraId="38C1B1AC">
      <w:pPr>
        <w:spacing w:line="600" w:lineRule="exact"/>
        <w:ind w:firstLine="632" w:firstLineChars="200"/>
        <w:rPr>
          <w:rFonts w:ascii="黑体" w:hAnsi="黑体" w:eastAsia="黑体" w:cs="黑体"/>
          <w:szCs w:val="32"/>
        </w:rPr>
      </w:pPr>
    </w:p>
    <w:p w14:paraId="1EE7E60A">
      <w:pPr>
        <w:spacing w:line="600" w:lineRule="exact"/>
        <w:ind w:firstLine="632" w:firstLineChars="200"/>
        <w:rPr>
          <w:rFonts w:ascii="黑体" w:hAnsi="黑体" w:eastAsia="黑体" w:cs="黑体"/>
          <w:szCs w:val="32"/>
        </w:rPr>
      </w:pPr>
    </w:p>
    <w:p w14:paraId="75FF59FE">
      <w:pPr>
        <w:spacing w:line="600" w:lineRule="exact"/>
        <w:ind w:firstLine="632" w:firstLineChars="200"/>
        <w:rPr>
          <w:rFonts w:ascii="仿宋" w:hAnsi="仿宋" w:eastAsia="仿宋" w:cs="仿宋"/>
          <w:szCs w:val="32"/>
        </w:rPr>
      </w:pPr>
      <w:r>
        <w:rPr>
          <w:rFonts w:hint="eastAsia" w:ascii="仿宋" w:hAnsi="仿宋" w:eastAsia="仿宋" w:cs="仿宋"/>
          <w:szCs w:val="32"/>
        </w:rPr>
        <w:t>　　　　　　　　　　　　    福建中医药大学</w:t>
      </w:r>
    </w:p>
    <w:p w14:paraId="7584DE14">
      <w:pPr>
        <w:spacing w:line="600" w:lineRule="exact"/>
        <w:ind w:firstLine="4898" w:firstLineChars="1550"/>
        <w:rPr>
          <w:rFonts w:ascii="仿宋" w:hAnsi="仿宋" w:eastAsia="仿宋" w:cs="仿宋"/>
          <w:szCs w:val="32"/>
        </w:rPr>
        <w:sectPr>
          <w:footerReference r:id="rId3" w:type="default"/>
          <w:footerReference r:id="rId4" w:type="even"/>
          <w:pgSz w:w="11907" w:h="16840"/>
          <w:pgMar w:top="2098" w:right="1474" w:bottom="1985" w:left="1588" w:header="851" w:footer="992" w:gutter="0"/>
          <w:cols w:space="425" w:num="1"/>
          <w:docGrid w:type="linesAndChars" w:linePitch="579" w:charSpace="-842"/>
        </w:sectPr>
      </w:pPr>
      <w:r>
        <w:rPr>
          <w:rFonts w:hint="eastAsia" w:ascii="仿宋" w:hAnsi="仿宋" w:eastAsia="仿宋" w:cs="仿宋"/>
          <w:szCs w:val="32"/>
        </w:rPr>
        <w:t>2025年11月</w:t>
      </w:r>
      <w:r>
        <w:rPr>
          <w:rFonts w:ascii="仿宋" w:hAnsi="仿宋" w:eastAsia="仿宋" w:cs="仿宋"/>
          <w:szCs w:val="32"/>
        </w:rPr>
        <w:t>26</w:t>
      </w:r>
      <w:r>
        <w:rPr>
          <w:rFonts w:hint="eastAsia" w:ascii="仿宋" w:hAnsi="仿宋" w:eastAsia="仿宋" w:cs="仿宋"/>
          <w:szCs w:val="32"/>
        </w:rPr>
        <w:t>日</w:t>
      </w:r>
    </w:p>
    <w:p w14:paraId="06931403">
      <w:pPr>
        <w:jc w:val="center"/>
        <w:rPr>
          <w:rFonts w:ascii="宋体" w:hAnsi="宋体" w:eastAsia="宋体" w:cs="宋体"/>
          <w:b/>
          <w:bCs/>
          <w:sz w:val="44"/>
          <w:szCs w:val="44"/>
        </w:rPr>
      </w:pPr>
      <w:r>
        <w:rPr>
          <w:rFonts w:hint="eastAsia" w:ascii="宋体" w:hAnsi="宋体" w:eastAsia="宋体" w:cs="宋体"/>
          <w:b/>
          <w:bCs/>
          <w:sz w:val="44"/>
          <w:szCs w:val="44"/>
        </w:rPr>
        <w:t>福建中医药大学耗材供应商监督</w:t>
      </w:r>
    </w:p>
    <w:p w14:paraId="49E4E3F9">
      <w:pPr>
        <w:jc w:val="center"/>
        <w:rPr>
          <w:rFonts w:ascii="黑体" w:hAnsi="黑体" w:eastAsia="黑体" w:cs="黑体"/>
          <w:sz w:val="44"/>
          <w:szCs w:val="44"/>
        </w:rPr>
      </w:pPr>
      <w:r>
        <w:rPr>
          <w:rFonts w:hint="eastAsia" w:ascii="宋体" w:hAnsi="宋体" w:eastAsia="宋体" w:cs="宋体"/>
          <w:b/>
          <w:bCs/>
          <w:sz w:val="44"/>
          <w:szCs w:val="44"/>
        </w:rPr>
        <w:t>管理办法（试行）</w:t>
      </w:r>
    </w:p>
    <w:p w14:paraId="6AD77425">
      <w:pPr>
        <w:ind w:firstLine="2844" w:firstLineChars="900"/>
        <w:rPr>
          <w:rFonts w:ascii="黑体" w:hAnsi="黑体" w:eastAsia="黑体" w:cs="黑体"/>
          <w:szCs w:val="32"/>
        </w:rPr>
      </w:pPr>
    </w:p>
    <w:p w14:paraId="00EC7555">
      <w:pPr>
        <w:numPr>
          <w:ilvl w:val="255"/>
          <w:numId w:val="0"/>
        </w:numPr>
        <w:jc w:val="center"/>
        <w:rPr>
          <w:rFonts w:ascii="黑体" w:hAnsi="黑体" w:eastAsia="黑体" w:cs="黑体"/>
          <w:color w:val="000000"/>
          <w:szCs w:val="32"/>
        </w:rPr>
      </w:pPr>
      <w:r>
        <w:rPr>
          <w:rFonts w:hint="eastAsia" w:ascii="黑体" w:hAnsi="黑体" w:eastAsia="黑体" w:cs="黑体"/>
          <w:color w:val="000000"/>
          <w:szCs w:val="32"/>
        </w:rPr>
        <w:t>第一章  总    则</w:t>
      </w:r>
    </w:p>
    <w:p w14:paraId="3FAECBF5">
      <w:pPr>
        <w:spacing w:line="600" w:lineRule="exact"/>
        <w:ind w:firstLine="632" w:firstLineChars="200"/>
        <w:rPr>
          <w:rFonts w:ascii="仿宋" w:hAnsi="仿宋" w:eastAsia="仿宋" w:cs="仿宋"/>
          <w:szCs w:val="32"/>
        </w:rPr>
      </w:pPr>
      <w:r>
        <w:rPr>
          <w:rFonts w:hint="eastAsia" w:ascii="楷体" w:hAnsi="楷体" w:eastAsia="楷体" w:cs="楷体"/>
          <w:b/>
          <w:bCs/>
          <w:szCs w:val="32"/>
        </w:rPr>
        <w:t>第一条</w:t>
      </w:r>
      <w:r>
        <w:rPr>
          <w:rFonts w:hint="eastAsia" w:ascii="仿宋" w:hAnsi="仿宋" w:eastAsia="仿宋" w:cs="仿宋"/>
          <w:szCs w:val="32"/>
        </w:rPr>
        <w:t xml:space="preserve">  为保障学校耗材采购工作的顺利实施，加强学</w:t>
      </w:r>
    </w:p>
    <w:p w14:paraId="68515C06">
      <w:pPr>
        <w:spacing w:line="600" w:lineRule="exact"/>
        <w:rPr>
          <w:rFonts w:ascii="仿宋" w:hAnsi="仿宋" w:eastAsia="仿宋" w:cs="仿宋"/>
          <w:szCs w:val="32"/>
        </w:rPr>
      </w:pPr>
      <w:r>
        <w:rPr>
          <w:rFonts w:hint="eastAsia" w:ascii="仿宋" w:hAnsi="仿宋" w:eastAsia="仿宋" w:cs="仿宋"/>
          <w:szCs w:val="32"/>
        </w:rPr>
        <w:t>校对耗材供应商的监督管理，维护学校合法权益，促进供应商诚信经营和公平竞争，确保学校采购的耗材质量可靠、价格合理、售后服务满意，根据《中华人民共和国民法典》《中华人民共和国政府采购法》《福建中医药大学采购与招标管理暂行办法》《福建中医药大学低值品、材料和易耗品采购实施细则》等有关文件，结合学校实际情况，制定本办法。</w:t>
      </w:r>
    </w:p>
    <w:p w14:paraId="20B756E5">
      <w:pPr>
        <w:spacing w:line="600" w:lineRule="exact"/>
        <w:ind w:firstLine="632" w:firstLineChars="200"/>
        <w:rPr>
          <w:rFonts w:ascii="仿宋" w:hAnsi="仿宋" w:eastAsia="仿宋" w:cs="仿宋"/>
          <w:szCs w:val="32"/>
        </w:rPr>
      </w:pPr>
      <w:r>
        <w:rPr>
          <w:rFonts w:hint="eastAsia" w:ascii="楷体" w:hAnsi="楷体" w:eastAsia="楷体" w:cs="楷体"/>
          <w:b/>
          <w:bCs/>
          <w:szCs w:val="32"/>
        </w:rPr>
        <w:t>第二条</w:t>
      </w:r>
      <w:r>
        <w:rPr>
          <w:rFonts w:hint="eastAsia" w:ascii="仿宋" w:hAnsi="仿宋" w:eastAsia="仿宋" w:cs="仿宋"/>
          <w:szCs w:val="32"/>
        </w:rPr>
        <w:t xml:space="preserve">  本办法适用于学校所有与教学、科研、办公等相关的耗材供应商。</w:t>
      </w:r>
    </w:p>
    <w:p w14:paraId="0B3D78DA">
      <w:pPr>
        <w:spacing w:line="600" w:lineRule="exact"/>
        <w:ind w:firstLine="632" w:firstLineChars="200"/>
        <w:rPr>
          <w:rFonts w:ascii="仿宋" w:hAnsi="仿宋" w:eastAsia="仿宋" w:cs="仿宋"/>
          <w:szCs w:val="32"/>
        </w:rPr>
      </w:pPr>
      <w:r>
        <w:rPr>
          <w:rFonts w:hint="eastAsia" w:ascii="楷体" w:hAnsi="楷体" w:eastAsia="楷体" w:cs="楷体"/>
          <w:b/>
          <w:bCs/>
          <w:szCs w:val="32"/>
        </w:rPr>
        <w:t>第三条</w:t>
      </w:r>
      <w:r>
        <w:rPr>
          <w:rFonts w:hint="eastAsia" w:ascii="仿宋" w:hAnsi="仿宋" w:eastAsia="仿宋" w:cs="仿宋"/>
          <w:szCs w:val="32"/>
        </w:rPr>
        <w:t xml:space="preserve">  供应商管理应当遵循客观、公正的原则，不得泄露国家秘密，不得侵犯商业秘密和个人隐私。</w:t>
      </w:r>
    </w:p>
    <w:p w14:paraId="7FD3F263">
      <w:pPr>
        <w:spacing w:line="600" w:lineRule="exact"/>
        <w:ind w:firstLine="632" w:firstLineChars="200"/>
        <w:rPr>
          <w:rFonts w:ascii="仿宋" w:hAnsi="仿宋" w:eastAsia="仿宋" w:cs="仿宋"/>
          <w:szCs w:val="32"/>
        </w:rPr>
      </w:pPr>
    </w:p>
    <w:p w14:paraId="106E5014">
      <w:pPr>
        <w:spacing w:line="600" w:lineRule="exact"/>
        <w:jc w:val="center"/>
        <w:rPr>
          <w:rFonts w:ascii="黑体" w:hAnsi="黑体" w:eastAsia="黑体" w:cs="黑体"/>
          <w:szCs w:val="32"/>
        </w:rPr>
      </w:pPr>
      <w:r>
        <w:rPr>
          <w:rFonts w:hint="eastAsia" w:ascii="黑体" w:hAnsi="黑体" w:eastAsia="黑体" w:cs="黑体"/>
          <w:szCs w:val="32"/>
        </w:rPr>
        <w:t>第二章  供应商应履行的义务</w:t>
      </w:r>
    </w:p>
    <w:p w14:paraId="28655414">
      <w:pPr>
        <w:spacing w:line="600" w:lineRule="exact"/>
        <w:ind w:firstLine="632" w:firstLineChars="200"/>
        <w:rPr>
          <w:rFonts w:ascii="仿宋" w:hAnsi="仿宋" w:eastAsia="仿宋" w:cs="仿宋"/>
          <w:szCs w:val="32"/>
        </w:rPr>
      </w:pPr>
      <w:r>
        <w:rPr>
          <w:rFonts w:hint="eastAsia" w:ascii="楷体" w:hAnsi="楷体" w:eastAsia="楷体" w:cs="楷体"/>
          <w:b/>
          <w:bCs/>
          <w:szCs w:val="32"/>
        </w:rPr>
        <w:t>第四条</w:t>
      </w:r>
      <w:r>
        <w:rPr>
          <w:rFonts w:hint="eastAsia" w:ascii="仿宋" w:hAnsi="仿宋" w:eastAsia="仿宋" w:cs="仿宋"/>
          <w:szCs w:val="32"/>
        </w:rPr>
        <w:t xml:space="preserve">  供应商在参与福建中医药大学采购活动时应当履行以下义务：</w:t>
      </w:r>
    </w:p>
    <w:p w14:paraId="2850F0BF">
      <w:pPr>
        <w:spacing w:line="600" w:lineRule="exact"/>
        <w:ind w:firstLine="632" w:firstLineChars="200"/>
        <w:rPr>
          <w:rFonts w:ascii="仿宋" w:hAnsi="仿宋" w:eastAsia="仿宋" w:cs="仿宋"/>
          <w:szCs w:val="32"/>
        </w:rPr>
      </w:pPr>
      <w:r>
        <w:rPr>
          <w:rFonts w:hint="eastAsia" w:ascii="仿宋" w:hAnsi="仿宋" w:eastAsia="仿宋" w:cs="仿宋"/>
          <w:szCs w:val="32"/>
        </w:rPr>
        <w:t>(一) 供应商依法诚信参与学校采购活动，维护国家利益、社会公共利益和学校的合法权益；</w:t>
      </w:r>
    </w:p>
    <w:p w14:paraId="7D2FAFFB">
      <w:pPr>
        <w:spacing w:line="600" w:lineRule="exact"/>
        <w:ind w:firstLine="632" w:firstLineChars="200"/>
        <w:rPr>
          <w:rFonts w:ascii="仿宋" w:hAnsi="仿宋" w:eastAsia="仿宋" w:cs="仿宋"/>
          <w:szCs w:val="32"/>
        </w:rPr>
      </w:pPr>
      <w:r>
        <w:rPr>
          <w:rFonts w:hint="eastAsia" w:ascii="仿宋" w:hAnsi="仿宋" w:eastAsia="仿宋" w:cs="仿宋"/>
          <w:szCs w:val="32"/>
        </w:rPr>
        <w:t>(二) 遵循公平竞争的原则，不得串通、妨碍其他供应商的竞争，不得损害学校或者其他供应商的合法权益；</w:t>
      </w:r>
    </w:p>
    <w:p w14:paraId="77E37806">
      <w:pPr>
        <w:spacing w:line="600" w:lineRule="exact"/>
        <w:ind w:firstLine="632" w:firstLineChars="200"/>
        <w:rPr>
          <w:rFonts w:ascii="仿宋" w:hAnsi="仿宋" w:eastAsia="仿宋" w:cs="仿宋"/>
          <w:szCs w:val="32"/>
        </w:rPr>
      </w:pPr>
      <w:r>
        <w:rPr>
          <w:rFonts w:hint="eastAsia" w:ascii="仿宋" w:hAnsi="仿宋" w:eastAsia="仿宋" w:cs="仿宋"/>
          <w:szCs w:val="32"/>
        </w:rPr>
        <w:t>(三) 对获取的国家秘密和商业秘密负有保密的义务；</w:t>
      </w:r>
    </w:p>
    <w:p w14:paraId="18E27FCB">
      <w:pPr>
        <w:spacing w:line="600" w:lineRule="exact"/>
        <w:ind w:firstLine="632" w:firstLineChars="200"/>
        <w:rPr>
          <w:rFonts w:ascii="仿宋" w:hAnsi="仿宋" w:eastAsia="仿宋" w:cs="仿宋"/>
          <w:szCs w:val="32"/>
        </w:rPr>
      </w:pPr>
      <w:r>
        <w:rPr>
          <w:rFonts w:hint="eastAsia" w:ascii="仿宋" w:hAnsi="仿宋" w:eastAsia="仿宋" w:cs="仿宋"/>
          <w:szCs w:val="32"/>
        </w:rPr>
        <w:t>(四) 按规定接受资格审查，并在资格审查中客观真实地反映自身情况；</w:t>
      </w:r>
    </w:p>
    <w:p w14:paraId="0F0D2DC3">
      <w:pPr>
        <w:spacing w:line="600" w:lineRule="exact"/>
        <w:ind w:firstLine="632" w:firstLineChars="200"/>
        <w:rPr>
          <w:rFonts w:ascii="仿宋" w:hAnsi="仿宋" w:eastAsia="仿宋" w:cs="仿宋"/>
          <w:szCs w:val="32"/>
        </w:rPr>
      </w:pPr>
      <w:r>
        <w:rPr>
          <w:rFonts w:hint="eastAsia" w:ascii="仿宋" w:hAnsi="仿宋" w:eastAsia="仿宋" w:cs="仿宋"/>
          <w:szCs w:val="32"/>
        </w:rPr>
        <w:t>(五)遴选入围后，与学校签订耗材供应商平台供应合同；</w:t>
      </w:r>
    </w:p>
    <w:p w14:paraId="1EBDB166">
      <w:pPr>
        <w:spacing w:line="600" w:lineRule="exact"/>
        <w:ind w:firstLine="632" w:firstLineChars="200"/>
        <w:rPr>
          <w:rFonts w:ascii="仿宋" w:hAnsi="仿宋" w:eastAsia="仿宋" w:cs="仿宋"/>
          <w:szCs w:val="32"/>
        </w:rPr>
      </w:pPr>
      <w:r>
        <w:rPr>
          <w:rFonts w:hint="eastAsia" w:ascii="仿宋" w:hAnsi="仿宋" w:eastAsia="仿宋" w:cs="仿宋"/>
          <w:szCs w:val="32"/>
        </w:rPr>
        <w:t>(六)严格按照耗材供应商平台供应合同履行义务；</w:t>
      </w:r>
    </w:p>
    <w:p w14:paraId="29F9F0E4">
      <w:pPr>
        <w:spacing w:line="600" w:lineRule="exact"/>
        <w:ind w:firstLine="632" w:firstLineChars="200"/>
        <w:rPr>
          <w:rFonts w:ascii="仿宋" w:hAnsi="仿宋" w:eastAsia="仿宋" w:cs="仿宋"/>
          <w:szCs w:val="32"/>
        </w:rPr>
      </w:pPr>
      <w:r>
        <w:rPr>
          <w:rFonts w:hint="eastAsia" w:ascii="仿宋" w:hAnsi="仿宋" w:eastAsia="仿宋" w:cs="仿宋"/>
          <w:szCs w:val="32"/>
        </w:rPr>
        <w:t>(七)法律、法规规定的其他义务。</w:t>
      </w:r>
    </w:p>
    <w:p w14:paraId="23133C49">
      <w:pPr>
        <w:spacing w:line="600" w:lineRule="exact"/>
        <w:ind w:firstLine="632" w:firstLineChars="200"/>
        <w:rPr>
          <w:rFonts w:ascii="仿宋" w:hAnsi="仿宋" w:eastAsia="仿宋" w:cs="仿宋"/>
          <w:szCs w:val="32"/>
        </w:rPr>
      </w:pPr>
    </w:p>
    <w:p w14:paraId="6ED84E9B">
      <w:pPr>
        <w:spacing w:line="600" w:lineRule="exact"/>
        <w:jc w:val="center"/>
        <w:rPr>
          <w:rFonts w:ascii="黑体" w:hAnsi="黑体" w:eastAsia="黑体" w:cs="黑体"/>
          <w:szCs w:val="32"/>
        </w:rPr>
      </w:pPr>
      <w:r>
        <w:rPr>
          <w:rFonts w:hint="eastAsia" w:ascii="黑体" w:hAnsi="黑体" w:eastAsia="黑体" w:cs="黑体"/>
          <w:szCs w:val="32"/>
        </w:rPr>
        <w:t>第三章  供应商耗材产品管理</w:t>
      </w:r>
    </w:p>
    <w:p w14:paraId="7882BD79">
      <w:pPr>
        <w:spacing w:line="600" w:lineRule="exact"/>
        <w:ind w:firstLine="632" w:firstLineChars="200"/>
        <w:rPr>
          <w:rFonts w:ascii="仿宋" w:hAnsi="仿宋" w:eastAsia="仿宋" w:cs="仿宋"/>
          <w:szCs w:val="32"/>
        </w:rPr>
      </w:pPr>
      <w:r>
        <w:rPr>
          <w:rFonts w:hint="eastAsia" w:ascii="楷体" w:hAnsi="楷体" w:eastAsia="楷体" w:cs="楷体"/>
          <w:b/>
          <w:bCs/>
          <w:szCs w:val="32"/>
        </w:rPr>
        <w:t>第五条</w:t>
      </w:r>
      <w:r>
        <w:rPr>
          <w:rFonts w:hint="eastAsia" w:ascii="仿宋" w:hAnsi="仿宋" w:eastAsia="仿宋" w:cs="仿宋"/>
          <w:szCs w:val="32"/>
        </w:rPr>
        <w:t xml:space="preserve">  供应商提供的耗材产品的质量管理：</w:t>
      </w:r>
    </w:p>
    <w:p w14:paraId="63D12874">
      <w:pPr>
        <w:spacing w:line="600" w:lineRule="exact"/>
        <w:ind w:firstLine="632" w:firstLineChars="200"/>
        <w:rPr>
          <w:rFonts w:ascii="仿宋" w:hAnsi="仿宋" w:eastAsia="仿宋" w:cs="仿宋"/>
          <w:szCs w:val="32"/>
        </w:rPr>
      </w:pPr>
      <w:r>
        <w:rPr>
          <w:rFonts w:hint="eastAsia" w:ascii="仿宋" w:hAnsi="仿宋" w:eastAsia="仿宋" w:cs="仿宋"/>
          <w:szCs w:val="32"/>
        </w:rPr>
        <w:t>(一) 供应商供应的耗材产品应符合国家相关规定和行业标准的正规合格产品，且不侵犯第三方权利；供应商上架校耗材采购平台的产品不能为政府集中采购目录内的产品；</w:t>
      </w:r>
    </w:p>
    <w:p w14:paraId="1BC7865E">
      <w:pPr>
        <w:spacing w:line="600" w:lineRule="exact"/>
        <w:ind w:firstLine="632" w:firstLineChars="200"/>
        <w:rPr>
          <w:rFonts w:ascii="仿宋" w:hAnsi="仿宋" w:eastAsia="仿宋" w:cs="仿宋"/>
          <w:szCs w:val="32"/>
        </w:rPr>
      </w:pPr>
      <w:r>
        <w:rPr>
          <w:rFonts w:hint="eastAsia" w:ascii="仿宋" w:hAnsi="仿宋" w:eastAsia="仿宋" w:cs="仿宋"/>
          <w:szCs w:val="32"/>
        </w:rPr>
        <w:t>(二) 通过用户反馈、定期评估等方式对耗材产品进行监管。若发现供应商提供的产品存在质量问题，学校可要求供应商召回整改并承担相应责任或予以终止合作。</w:t>
      </w:r>
    </w:p>
    <w:p w14:paraId="14FB4925">
      <w:pPr>
        <w:spacing w:line="600" w:lineRule="exact"/>
        <w:ind w:firstLine="632" w:firstLineChars="200"/>
        <w:rPr>
          <w:rFonts w:ascii="仿宋" w:hAnsi="仿宋" w:eastAsia="仿宋" w:cs="仿宋"/>
          <w:szCs w:val="32"/>
        </w:rPr>
      </w:pPr>
      <w:r>
        <w:rPr>
          <w:rFonts w:hint="eastAsia" w:ascii="楷体" w:hAnsi="楷体" w:eastAsia="楷体" w:cs="楷体"/>
          <w:b/>
          <w:bCs/>
          <w:szCs w:val="32"/>
        </w:rPr>
        <w:t>第六条</w:t>
      </w:r>
      <w:r>
        <w:rPr>
          <w:rFonts w:hint="eastAsia" w:ascii="仿宋" w:hAnsi="仿宋" w:eastAsia="仿宋" w:cs="仿宋"/>
          <w:szCs w:val="32"/>
        </w:rPr>
        <w:t xml:space="preserve">  供应商提供的耗材产品的价格管理：</w:t>
      </w:r>
    </w:p>
    <w:p w14:paraId="77D3D082">
      <w:pPr>
        <w:spacing w:line="600" w:lineRule="exact"/>
        <w:ind w:firstLine="632" w:firstLineChars="200"/>
        <w:rPr>
          <w:rFonts w:ascii="仿宋" w:hAnsi="仿宋" w:eastAsia="仿宋" w:cs="仿宋"/>
          <w:szCs w:val="32"/>
        </w:rPr>
      </w:pPr>
      <w:r>
        <w:rPr>
          <w:rFonts w:hint="eastAsia" w:ascii="仿宋" w:hAnsi="仿宋" w:eastAsia="仿宋" w:cs="仿宋"/>
          <w:szCs w:val="32"/>
        </w:rPr>
        <w:t>(一) 供应商提供的耗材产品价格</w:t>
      </w:r>
      <w:r>
        <w:rPr>
          <w:rFonts w:hint="eastAsia" w:ascii="仿宋" w:hAnsi="仿宋" w:eastAsia="仿宋" w:cs="仿宋"/>
          <w:color w:val="000000"/>
          <w:szCs w:val="32"/>
        </w:rPr>
        <w:t>不应高于公开平台价格（中国政府采购网、央企电商平台、京东企业购等权威渠道），</w:t>
      </w:r>
      <w:r>
        <w:rPr>
          <w:rFonts w:hint="eastAsia" w:ascii="仿宋" w:hAnsi="仿宋" w:eastAsia="仿宋" w:cs="仿宋"/>
          <w:szCs w:val="32"/>
        </w:rPr>
        <w:t>若申购部门发现供应商提供的价格高于</w:t>
      </w:r>
      <w:r>
        <w:rPr>
          <w:rFonts w:hint="eastAsia" w:ascii="仿宋" w:hAnsi="仿宋" w:eastAsia="仿宋" w:cs="仿宋"/>
          <w:color w:val="000000"/>
          <w:szCs w:val="32"/>
        </w:rPr>
        <w:t>公开平台价格</w:t>
      </w:r>
      <w:r>
        <w:rPr>
          <w:rFonts w:hint="eastAsia" w:ascii="仿宋" w:hAnsi="仿宋" w:eastAsia="仿宋" w:cs="仿宋"/>
          <w:szCs w:val="32"/>
        </w:rPr>
        <w:t>，应反馈给招标采购中心，招标采购中心及时与供应商协商调整价格；</w:t>
      </w:r>
    </w:p>
    <w:p w14:paraId="0DC5AFEF">
      <w:pPr>
        <w:spacing w:line="600" w:lineRule="exact"/>
        <w:ind w:firstLine="632" w:firstLineChars="200"/>
        <w:rPr>
          <w:rFonts w:ascii="仿宋" w:hAnsi="仿宋" w:eastAsia="仿宋" w:cs="仿宋"/>
          <w:szCs w:val="32"/>
        </w:rPr>
      </w:pPr>
      <w:r>
        <w:rPr>
          <w:rFonts w:hint="eastAsia" w:ascii="仿宋" w:hAnsi="仿宋" w:eastAsia="仿宋" w:cs="仿宋"/>
          <w:szCs w:val="32"/>
        </w:rPr>
        <w:t>(二) 价格调整：招标采购中心将根据实际情况，与耗材采购平台上采购总金额排名前五的供应商进行协商，对其产品价格作出合理调整。</w:t>
      </w:r>
    </w:p>
    <w:p w14:paraId="59223784">
      <w:pPr>
        <w:spacing w:line="600" w:lineRule="exact"/>
        <w:ind w:firstLine="632" w:firstLineChars="200"/>
        <w:rPr>
          <w:rFonts w:ascii="仿宋" w:hAnsi="仿宋" w:eastAsia="仿宋" w:cs="仿宋"/>
          <w:szCs w:val="32"/>
        </w:rPr>
      </w:pPr>
      <w:r>
        <w:rPr>
          <w:rFonts w:hint="eastAsia" w:ascii="楷体" w:hAnsi="楷体" w:eastAsia="楷体" w:cs="楷体"/>
          <w:b/>
          <w:bCs/>
          <w:szCs w:val="32"/>
        </w:rPr>
        <w:t>第七条</w:t>
      </w:r>
      <w:r>
        <w:rPr>
          <w:rFonts w:hint="eastAsia" w:ascii="仿宋" w:hAnsi="仿宋" w:eastAsia="仿宋" w:cs="仿宋"/>
          <w:szCs w:val="32"/>
        </w:rPr>
        <w:t>供应商提供的耗材产品的售后服务管理：</w:t>
      </w:r>
    </w:p>
    <w:p w14:paraId="4FEC992E">
      <w:pPr>
        <w:spacing w:line="600" w:lineRule="exact"/>
        <w:ind w:firstLine="632" w:firstLineChars="200"/>
        <w:rPr>
          <w:rFonts w:ascii="仿宋" w:hAnsi="仿宋" w:eastAsia="仿宋" w:cs="仿宋"/>
          <w:szCs w:val="32"/>
        </w:rPr>
      </w:pPr>
      <w:r>
        <w:rPr>
          <w:rFonts w:hint="eastAsia" w:ascii="仿宋" w:hAnsi="仿宋" w:eastAsia="仿宋" w:cs="仿宋"/>
          <w:szCs w:val="32"/>
        </w:rPr>
        <w:t>(一) 供应商应按时供货，按照售后服务标准要求，为申购部门提供退换货等服务；</w:t>
      </w:r>
    </w:p>
    <w:p w14:paraId="2874554F">
      <w:pPr>
        <w:spacing w:line="600" w:lineRule="exact"/>
        <w:ind w:firstLine="632" w:firstLineChars="200"/>
        <w:rPr>
          <w:rFonts w:ascii="仿宋" w:hAnsi="仿宋" w:eastAsia="仿宋" w:cs="仿宋"/>
          <w:szCs w:val="32"/>
        </w:rPr>
      </w:pPr>
      <w:r>
        <w:rPr>
          <w:rFonts w:hint="eastAsia" w:ascii="仿宋" w:hAnsi="仿宋" w:eastAsia="仿宋" w:cs="仿宋"/>
          <w:szCs w:val="32"/>
        </w:rPr>
        <w:t>(二) 申购部门根据实际情况对供应商售后服务质量（如退换货、投诉等）纳入考核。</w:t>
      </w:r>
    </w:p>
    <w:p w14:paraId="0BBD7964">
      <w:pPr>
        <w:spacing w:line="600" w:lineRule="exact"/>
        <w:ind w:firstLine="632" w:firstLineChars="200"/>
        <w:rPr>
          <w:rFonts w:ascii="仿宋" w:hAnsi="仿宋" w:eastAsia="仿宋" w:cs="仿宋"/>
          <w:szCs w:val="32"/>
        </w:rPr>
      </w:pPr>
    </w:p>
    <w:p w14:paraId="233C6B26">
      <w:pPr>
        <w:widowControl/>
        <w:spacing w:line="600" w:lineRule="exact"/>
        <w:jc w:val="center"/>
        <w:rPr>
          <w:rFonts w:ascii="仿宋" w:hAnsi="仿宋" w:eastAsia="黑体" w:cs="仿宋"/>
          <w:szCs w:val="32"/>
        </w:rPr>
      </w:pPr>
      <w:r>
        <w:rPr>
          <w:rFonts w:hint="eastAsia" w:ascii="黑体" w:hAnsi="黑体" w:eastAsia="黑体" w:cs="黑体"/>
          <w:szCs w:val="32"/>
        </w:rPr>
        <w:t>第四章   供应商危险化学品的管理</w:t>
      </w:r>
    </w:p>
    <w:p w14:paraId="2C4360F8">
      <w:pPr>
        <w:spacing w:line="600" w:lineRule="exact"/>
        <w:ind w:firstLine="632" w:firstLineChars="200"/>
        <w:rPr>
          <w:rFonts w:ascii="仿宋" w:hAnsi="仿宋" w:eastAsia="仿宋" w:cs="仿宋"/>
          <w:szCs w:val="32"/>
        </w:rPr>
      </w:pPr>
      <w:r>
        <w:rPr>
          <w:rFonts w:hint="eastAsia" w:ascii="楷体" w:hAnsi="楷体" w:eastAsia="楷体" w:cs="楷体"/>
          <w:b/>
          <w:bCs/>
          <w:szCs w:val="32"/>
        </w:rPr>
        <w:t>第八条</w:t>
      </w:r>
      <w:r>
        <w:rPr>
          <w:rFonts w:hint="eastAsia" w:ascii="仿宋" w:hAnsi="仿宋" w:eastAsia="仿宋" w:cs="仿宋"/>
          <w:szCs w:val="32"/>
        </w:rPr>
        <w:t>危险化学品（管制类、非管制类）由实验室管理处负责，按实验室管理处的要求进行管理。</w:t>
      </w:r>
    </w:p>
    <w:p w14:paraId="72EBAEFE">
      <w:pPr>
        <w:spacing w:line="600" w:lineRule="exact"/>
        <w:rPr>
          <w:rFonts w:ascii="黑体" w:hAnsi="黑体" w:eastAsia="黑体" w:cs="黑体"/>
          <w:szCs w:val="32"/>
        </w:rPr>
      </w:pPr>
    </w:p>
    <w:p w14:paraId="64313FE5">
      <w:pPr>
        <w:spacing w:line="600" w:lineRule="exact"/>
        <w:jc w:val="center"/>
      </w:pPr>
      <w:r>
        <w:rPr>
          <w:rFonts w:hint="eastAsia" w:ascii="黑体" w:hAnsi="黑体" w:eastAsia="黑体" w:cs="黑体"/>
          <w:szCs w:val="32"/>
        </w:rPr>
        <w:t>第五章  供应商的评估与退出</w:t>
      </w:r>
    </w:p>
    <w:p w14:paraId="590C404E">
      <w:pPr>
        <w:spacing w:line="600" w:lineRule="exact"/>
        <w:ind w:firstLine="632" w:firstLineChars="200"/>
        <w:rPr>
          <w:rFonts w:ascii="仿宋" w:hAnsi="仿宋" w:eastAsia="仿宋" w:cs="仿宋"/>
          <w:szCs w:val="32"/>
        </w:rPr>
      </w:pPr>
      <w:r>
        <w:rPr>
          <w:rFonts w:hint="eastAsia" w:ascii="楷体" w:hAnsi="楷体" w:eastAsia="楷体" w:cs="楷体"/>
          <w:b/>
          <w:bCs/>
          <w:szCs w:val="32"/>
        </w:rPr>
        <w:t>第九条</w:t>
      </w:r>
      <w:r>
        <w:rPr>
          <w:rFonts w:hint="eastAsia" w:ascii="仿宋" w:hAnsi="仿宋" w:eastAsia="仿宋" w:cs="仿宋"/>
          <w:szCs w:val="32"/>
        </w:rPr>
        <w:t xml:space="preserve">  供应商的定期评估：</w:t>
      </w:r>
    </w:p>
    <w:p w14:paraId="3B422E2C">
      <w:pPr>
        <w:spacing w:line="600" w:lineRule="exact"/>
        <w:ind w:firstLine="632" w:firstLineChars="200"/>
        <w:rPr>
          <w:rFonts w:ascii="仿宋" w:hAnsi="仿宋" w:eastAsia="仿宋" w:cs="仿宋"/>
          <w:szCs w:val="32"/>
        </w:rPr>
      </w:pPr>
      <w:r>
        <w:rPr>
          <w:rFonts w:hint="eastAsia" w:ascii="仿宋" w:hAnsi="仿宋" w:eastAsia="仿宋" w:cs="仿宋"/>
          <w:szCs w:val="32"/>
        </w:rPr>
        <w:t>招标采购中心将根据实际情况组织申购部门对供应商进行评估。评估内容包括但不限于：产品质量、价格、交货期、售后服务等方面的表现。评估结果分为合格、基本合格、不合格三个等级。申购部门将评估结果（其中评估结果为基本合格和不合格的供应商）反馈到招标采购中心。</w:t>
      </w:r>
      <w:bookmarkStart w:id="3" w:name="OLE_LINK4"/>
      <w:bookmarkStart w:id="4" w:name="OLE_LINK3"/>
      <w:r>
        <w:rPr>
          <w:rFonts w:hint="eastAsia" w:ascii="仿宋" w:hAnsi="仿宋" w:eastAsia="仿宋" w:cs="仿宋"/>
          <w:szCs w:val="32"/>
        </w:rPr>
        <w:t>招标采购中心</w:t>
      </w:r>
      <w:bookmarkEnd w:id="3"/>
      <w:bookmarkEnd w:id="4"/>
      <w:r>
        <w:rPr>
          <w:rFonts w:hint="eastAsia" w:ascii="仿宋" w:hAnsi="仿宋" w:eastAsia="仿宋" w:cs="仿宋"/>
          <w:szCs w:val="32"/>
        </w:rPr>
        <w:t>对于评估结果不合格的供应商予以终止合作</w:t>
      </w:r>
      <w:bookmarkStart w:id="5" w:name="OLE_LINK1"/>
      <w:bookmarkStart w:id="6" w:name="OLE_LINK2"/>
      <w:r>
        <w:rPr>
          <w:rFonts w:hint="eastAsia" w:ascii="仿宋" w:hAnsi="仿宋" w:eastAsia="仿宋" w:cs="仿宋"/>
          <w:szCs w:val="32"/>
        </w:rPr>
        <w:t>；对于评估结果为基本合格的供应商，应要求其进行整改，如整改后仍不能达到要求，应予以终止合作</w:t>
      </w:r>
      <w:bookmarkEnd w:id="5"/>
      <w:bookmarkEnd w:id="6"/>
      <w:r>
        <w:rPr>
          <w:rFonts w:hint="eastAsia" w:ascii="仿宋" w:hAnsi="仿宋" w:eastAsia="仿宋" w:cs="仿宋"/>
          <w:szCs w:val="32"/>
        </w:rPr>
        <w:t>；对于连续两次评估结果为基本合格的供应商，予以终止合作。供应商评估意见表见附件。</w:t>
      </w:r>
    </w:p>
    <w:p w14:paraId="738600B4">
      <w:pPr>
        <w:spacing w:line="600" w:lineRule="exact"/>
        <w:ind w:firstLine="632" w:firstLineChars="200"/>
        <w:rPr>
          <w:rFonts w:ascii="仿宋" w:hAnsi="仿宋" w:eastAsia="仿宋" w:cs="仿宋"/>
          <w:szCs w:val="32"/>
        </w:rPr>
      </w:pPr>
      <w:r>
        <w:rPr>
          <w:rFonts w:hint="eastAsia" w:ascii="楷体" w:hAnsi="楷体" w:eastAsia="楷体" w:cs="楷体"/>
          <w:b/>
          <w:bCs/>
          <w:szCs w:val="32"/>
        </w:rPr>
        <w:t>第十条</w:t>
      </w:r>
      <w:r>
        <w:rPr>
          <w:rFonts w:hint="eastAsia" w:ascii="仿宋" w:hAnsi="仿宋" w:eastAsia="仿宋" w:cs="仿宋"/>
          <w:szCs w:val="32"/>
        </w:rPr>
        <w:t xml:space="preserve">  当供应商出现以下情况之一，应无条件退出：</w:t>
      </w:r>
    </w:p>
    <w:p w14:paraId="20B86014">
      <w:pPr>
        <w:spacing w:line="600" w:lineRule="exact"/>
        <w:ind w:firstLine="632" w:firstLineChars="200"/>
        <w:rPr>
          <w:rFonts w:ascii="仿宋" w:hAnsi="仿宋" w:eastAsia="仿宋" w:cs="仿宋"/>
          <w:szCs w:val="32"/>
        </w:rPr>
      </w:pPr>
      <w:r>
        <w:rPr>
          <w:rFonts w:hint="eastAsia" w:ascii="仿宋" w:hAnsi="仿宋" w:eastAsia="仿宋" w:cs="仿宋"/>
          <w:szCs w:val="32"/>
        </w:rPr>
        <w:t>(一) 提供的耗材存在质量问题，经核实后拒不整改或</w:t>
      </w:r>
    </w:p>
    <w:p w14:paraId="455BD57E">
      <w:pPr>
        <w:spacing w:line="600" w:lineRule="exact"/>
        <w:rPr>
          <w:rFonts w:ascii="仿宋" w:hAnsi="仿宋" w:eastAsia="仿宋" w:cs="仿宋"/>
          <w:szCs w:val="32"/>
        </w:rPr>
      </w:pPr>
      <w:r>
        <w:rPr>
          <w:rFonts w:hint="eastAsia" w:ascii="仿宋" w:hAnsi="仿宋" w:eastAsia="仿宋" w:cs="仿宋"/>
          <w:szCs w:val="32"/>
        </w:rPr>
        <w:t>整改后仍不符合要求的；</w:t>
      </w:r>
    </w:p>
    <w:p w14:paraId="2D464341">
      <w:pPr>
        <w:spacing w:line="600" w:lineRule="exact"/>
        <w:ind w:firstLine="632" w:firstLineChars="200"/>
        <w:rPr>
          <w:rFonts w:ascii="仿宋" w:hAnsi="仿宋" w:eastAsia="仿宋" w:cs="仿宋"/>
          <w:szCs w:val="32"/>
        </w:rPr>
      </w:pPr>
      <w:r>
        <w:rPr>
          <w:rFonts w:hint="eastAsia" w:ascii="仿宋" w:hAnsi="仿宋" w:eastAsia="仿宋" w:cs="仿宋"/>
          <w:szCs w:val="32"/>
        </w:rPr>
        <w:t>(二) 未能按时交货，严重影响学校教学科研或办公秩序的；</w:t>
      </w:r>
    </w:p>
    <w:p w14:paraId="7B1D5DEF">
      <w:pPr>
        <w:spacing w:line="600" w:lineRule="exact"/>
        <w:ind w:firstLine="632" w:firstLineChars="200"/>
        <w:rPr>
          <w:rFonts w:ascii="仿宋" w:hAnsi="仿宋" w:eastAsia="仿宋" w:cs="仿宋"/>
          <w:szCs w:val="32"/>
        </w:rPr>
      </w:pPr>
      <w:r>
        <w:rPr>
          <w:rFonts w:hint="eastAsia" w:ascii="仿宋" w:hAnsi="仿宋" w:eastAsia="仿宋" w:cs="仿宋"/>
          <w:szCs w:val="32"/>
        </w:rPr>
        <w:t>(三) 违反法律法规或学校采购管理制度，给学校造成不良影响的；</w:t>
      </w:r>
    </w:p>
    <w:p w14:paraId="6EA863C5">
      <w:pPr>
        <w:spacing w:line="600" w:lineRule="exact"/>
        <w:ind w:firstLine="632" w:firstLineChars="200"/>
        <w:rPr>
          <w:rFonts w:ascii="仿宋" w:hAnsi="仿宋" w:eastAsia="仿宋" w:cs="仿宋"/>
          <w:szCs w:val="32"/>
        </w:rPr>
      </w:pPr>
      <w:r>
        <w:rPr>
          <w:rFonts w:hint="eastAsia" w:ascii="仿宋" w:hAnsi="仿宋" w:eastAsia="仿宋" w:cs="仿宋"/>
          <w:szCs w:val="32"/>
        </w:rPr>
        <w:t>(四) 其他严重违反合同约定或损害学校利益的行为。</w:t>
      </w:r>
    </w:p>
    <w:p w14:paraId="00B9E372">
      <w:pPr>
        <w:spacing w:line="600" w:lineRule="exact"/>
        <w:ind w:firstLine="632" w:firstLineChars="200"/>
        <w:rPr>
          <w:rFonts w:ascii="仿宋" w:hAnsi="仿宋" w:eastAsia="仿宋" w:cs="仿宋"/>
          <w:szCs w:val="32"/>
        </w:rPr>
      </w:pPr>
    </w:p>
    <w:p w14:paraId="71D46EDF">
      <w:pPr>
        <w:spacing w:line="600" w:lineRule="exact"/>
        <w:jc w:val="center"/>
        <w:rPr>
          <w:szCs w:val="32"/>
        </w:rPr>
      </w:pPr>
      <w:r>
        <w:rPr>
          <w:rFonts w:hint="eastAsia" w:ascii="黑体" w:hAnsi="黑体" w:eastAsia="黑体" w:cs="黑体"/>
          <w:szCs w:val="32"/>
        </w:rPr>
        <w:t>第六章   附  则</w:t>
      </w:r>
    </w:p>
    <w:p w14:paraId="10A64A2A">
      <w:pPr>
        <w:spacing w:line="600" w:lineRule="exact"/>
        <w:ind w:firstLine="632" w:firstLineChars="200"/>
        <w:rPr>
          <w:rFonts w:ascii="仿宋" w:hAnsi="仿宋" w:eastAsia="仿宋" w:cs="仿宋"/>
          <w:szCs w:val="32"/>
        </w:rPr>
      </w:pPr>
      <w:r>
        <w:rPr>
          <w:rFonts w:hint="eastAsia" w:ascii="楷体" w:hAnsi="楷体" w:eastAsia="楷体" w:cs="楷体"/>
          <w:b/>
          <w:bCs/>
          <w:szCs w:val="32"/>
        </w:rPr>
        <w:t>第十一条</w:t>
      </w:r>
      <w:r>
        <w:rPr>
          <w:rFonts w:hint="eastAsia" w:ascii="仿宋" w:hAnsi="仿宋" w:eastAsia="仿宋" w:cs="仿宋"/>
          <w:szCs w:val="32"/>
        </w:rPr>
        <w:t xml:space="preserve">  本办法自发布之日起施行。本办法施行期间若遇上级政策调整的，依照上级新颁布的政策法规执行。</w:t>
      </w:r>
    </w:p>
    <w:p w14:paraId="7E6E2650">
      <w:pPr>
        <w:spacing w:line="600" w:lineRule="exact"/>
        <w:ind w:firstLine="632" w:firstLineChars="200"/>
      </w:pPr>
      <w:r>
        <w:rPr>
          <w:rFonts w:hint="eastAsia" w:ascii="楷体" w:hAnsi="楷体" w:eastAsia="楷体" w:cs="楷体"/>
          <w:b/>
          <w:bCs/>
          <w:szCs w:val="32"/>
        </w:rPr>
        <w:t>第十二条</w:t>
      </w:r>
      <w:r>
        <w:rPr>
          <w:rFonts w:hint="eastAsia" w:ascii="仿宋" w:hAnsi="仿宋" w:eastAsia="仿宋" w:cs="仿宋"/>
          <w:szCs w:val="32"/>
        </w:rPr>
        <w:t xml:space="preserve">  本办法由学校招标采购中心负责解释说明。</w:t>
      </w:r>
    </w:p>
    <w:p w14:paraId="4331A493"/>
    <w:p w14:paraId="5560372C"/>
    <w:p w14:paraId="3AB0D563"/>
    <w:p w14:paraId="60708279"/>
    <w:p w14:paraId="772D963A"/>
    <w:p w14:paraId="0F4DC3F1"/>
    <w:p w14:paraId="2373C102"/>
    <w:p w14:paraId="79F9B3EF"/>
    <w:p w14:paraId="4A0EB2DF"/>
    <w:p w14:paraId="398B3F54"/>
    <w:p w14:paraId="2E321055">
      <w:pPr>
        <w:rPr>
          <w:rFonts w:ascii="黑体" w:hAnsi="黑体" w:eastAsia="黑体" w:cs="黑体"/>
          <w:szCs w:val="32"/>
        </w:rPr>
      </w:pPr>
      <w:r>
        <w:rPr>
          <w:rFonts w:hint="eastAsia" w:ascii="黑体" w:hAnsi="黑体" w:eastAsia="黑体" w:cs="黑体"/>
          <w:szCs w:val="32"/>
        </w:rPr>
        <w:t>附件</w:t>
      </w:r>
    </w:p>
    <w:p w14:paraId="014CCD7D">
      <w:pPr>
        <w:jc w:val="center"/>
        <w:rPr>
          <w:rFonts w:ascii="宋体" w:hAnsi="宋体" w:eastAsia="宋体" w:cs="黑体"/>
          <w:b/>
          <w:sz w:val="44"/>
          <w:szCs w:val="44"/>
        </w:rPr>
      </w:pPr>
      <w:r>
        <w:rPr>
          <w:rFonts w:hint="eastAsia" w:ascii="宋体" w:hAnsi="宋体" w:eastAsia="宋体" w:cs="黑体"/>
          <w:b/>
          <w:sz w:val="44"/>
          <w:szCs w:val="44"/>
        </w:rPr>
        <w:t>供应商评估意见表</w:t>
      </w:r>
    </w:p>
    <w:p w14:paraId="069C7EE2">
      <w:pPr>
        <w:spacing w:line="600" w:lineRule="exact"/>
        <w:rPr>
          <w:rFonts w:ascii="仿宋" w:hAnsi="仿宋" w:eastAsia="仿宋" w:cs="仿宋"/>
          <w:szCs w:val="32"/>
        </w:rPr>
      </w:pPr>
      <w:r>
        <w:rPr>
          <w:rFonts w:hint="eastAsia" w:ascii="仿宋" w:hAnsi="仿宋" w:eastAsia="仿宋" w:cs="仿宋"/>
          <w:szCs w:val="32"/>
        </w:rPr>
        <w:t>供应商名称：</w:t>
      </w:r>
    </w:p>
    <w:p w14:paraId="20DC94EC">
      <w:pPr>
        <w:spacing w:line="600" w:lineRule="exact"/>
        <w:rPr>
          <w:rFonts w:ascii="仿宋" w:hAnsi="仿宋" w:eastAsia="仿宋" w:cs="仿宋"/>
          <w:szCs w:val="32"/>
        </w:rPr>
      </w:pPr>
      <w:r>
        <w:rPr>
          <w:rFonts w:hint="eastAsia" w:ascii="仿宋" w:hAnsi="仿宋" w:eastAsia="仿宋" w:cs="仿宋"/>
          <w:szCs w:val="32"/>
        </w:rPr>
        <w:t>供应的耗材类别：</w:t>
      </w:r>
    </w:p>
    <w:p w14:paraId="04B82310">
      <w:pPr>
        <w:ind w:firstLine="2528" w:firstLineChars="800"/>
        <w:rPr>
          <w:rFonts w:ascii="黑体" w:hAnsi="黑体" w:eastAsia="黑体" w:cs="黑体"/>
          <w:szCs w:val="32"/>
        </w:rPr>
      </w:pPr>
      <w:r>
        <w:rPr>
          <w:rFonts w:hint="eastAsia" w:ascii="黑体" w:hAnsi="黑体" w:eastAsia="黑体" w:cs="黑体"/>
          <w:szCs w:val="32"/>
        </w:rPr>
        <w:t>评估内容及评分标准</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1417"/>
        <w:gridCol w:w="3544"/>
        <w:gridCol w:w="1701"/>
      </w:tblGrid>
      <w:tr w14:paraId="69C8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093" w:type="dxa"/>
            <w:shd w:val="clear" w:color="auto" w:fill="auto"/>
            <w:vAlign w:val="center"/>
          </w:tcPr>
          <w:p w14:paraId="78542405">
            <w:pPr>
              <w:ind w:firstLine="276" w:firstLineChars="100"/>
              <w:jc w:val="center"/>
              <w:rPr>
                <w:rFonts w:ascii="黑体" w:hAnsi="黑体" w:eastAsia="黑体" w:cs="黑体"/>
                <w:sz w:val="28"/>
                <w:szCs w:val="28"/>
              </w:rPr>
            </w:pPr>
            <w:r>
              <w:rPr>
                <w:rFonts w:hint="eastAsia" w:ascii="黑体" w:hAnsi="黑体" w:eastAsia="黑体" w:cs="黑体"/>
                <w:sz w:val="28"/>
                <w:szCs w:val="28"/>
              </w:rPr>
              <w:t>评估内容</w:t>
            </w:r>
          </w:p>
        </w:tc>
        <w:tc>
          <w:tcPr>
            <w:tcW w:w="1417" w:type="dxa"/>
            <w:shd w:val="clear" w:color="auto" w:fill="auto"/>
            <w:vAlign w:val="center"/>
          </w:tcPr>
          <w:p w14:paraId="7D339BA6">
            <w:pPr>
              <w:ind w:firstLine="276" w:firstLineChars="100"/>
              <w:jc w:val="center"/>
              <w:rPr>
                <w:rFonts w:ascii="黑体" w:hAnsi="黑体" w:eastAsia="黑体" w:cs="黑体"/>
                <w:sz w:val="28"/>
                <w:szCs w:val="28"/>
              </w:rPr>
            </w:pPr>
            <w:r>
              <w:rPr>
                <w:rFonts w:hint="eastAsia" w:ascii="黑体" w:hAnsi="黑体" w:eastAsia="黑体" w:cs="黑体"/>
                <w:sz w:val="28"/>
                <w:szCs w:val="28"/>
              </w:rPr>
              <w:t>权重</w:t>
            </w:r>
          </w:p>
        </w:tc>
        <w:tc>
          <w:tcPr>
            <w:tcW w:w="3544" w:type="dxa"/>
            <w:shd w:val="clear" w:color="auto" w:fill="auto"/>
            <w:vAlign w:val="center"/>
          </w:tcPr>
          <w:p w14:paraId="27700321">
            <w:pPr>
              <w:ind w:firstLine="828" w:firstLineChars="300"/>
              <w:jc w:val="center"/>
              <w:rPr>
                <w:rFonts w:ascii="黑体" w:hAnsi="黑体" w:eastAsia="黑体" w:cs="黑体"/>
                <w:sz w:val="28"/>
                <w:szCs w:val="28"/>
              </w:rPr>
            </w:pPr>
            <w:r>
              <w:rPr>
                <w:rFonts w:hint="eastAsia" w:ascii="黑体" w:hAnsi="黑体" w:eastAsia="黑体" w:cs="黑体"/>
                <w:sz w:val="28"/>
                <w:szCs w:val="28"/>
              </w:rPr>
              <w:t>评分标准</w:t>
            </w:r>
          </w:p>
        </w:tc>
        <w:tc>
          <w:tcPr>
            <w:tcW w:w="1701" w:type="dxa"/>
            <w:shd w:val="clear" w:color="auto" w:fill="auto"/>
            <w:vAlign w:val="center"/>
          </w:tcPr>
          <w:p w14:paraId="67DD5700">
            <w:pPr>
              <w:spacing w:line="400" w:lineRule="exact"/>
              <w:jc w:val="center"/>
              <w:rPr>
                <w:rFonts w:ascii="黑体" w:hAnsi="黑体" w:eastAsia="黑体" w:cs="黑体"/>
                <w:sz w:val="28"/>
                <w:szCs w:val="28"/>
              </w:rPr>
            </w:pPr>
            <w:r>
              <w:rPr>
                <w:rFonts w:hint="eastAsia" w:ascii="黑体" w:hAnsi="黑体" w:eastAsia="黑体" w:cs="黑体"/>
                <w:sz w:val="28"/>
                <w:szCs w:val="28"/>
              </w:rPr>
              <w:t>得分及扣分</w:t>
            </w:r>
          </w:p>
          <w:p w14:paraId="6777F519">
            <w:pPr>
              <w:spacing w:line="400" w:lineRule="exact"/>
              <w:jc w:val="center"/>
              <w:rPr>
                <w:rFonts w:ascii="黑体" w:hAnsi="黑体" w:eastAsia="黑体" w:cs="黑体"/>
                <w:sz w:val="28"/>
                <w:szCs w:val="28"/>
              </w:rPr>
            </w:pPr>
            <w:r>
              <w:rPr>
                <w:rFonts w:hint="eastAsia" w:ascii="黑体" w:hAnsi="黑体" w:eastAsia="黑体" w:cs="黑体"/>
                <w:sz w:val="28"/>
                <w:szCs w:val="28"/>
              </w:rPr>
              <w:t>原因或依据</w:t>
            </w:r>
          </w:p>
        </w:tc>
      </w:tr>
      <w:tr w14:paraId="430C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shd w:val="clear" w:color="auto" w:fill="auto"/>
            <w:vAlign w:val="center"/>
          </w:tcPr>
          <w:p w14:paraId="7D7B3A36">
            <w:pPr>
              <w:rPr>
                <w:rFonts w:ascii="仿宋" w:hAnsi="仿宋" w:eastAsia="仿宋" w:cs="仿宋"/>
                <w:sz w:val="24"/>
              </w:rPr>
            </w:pPr>
            <w:r>
              <w:rPr>
                <w:rFonts w:hint="eastAsia" w:ascii="仿宋" w:hAnsi="仿宋" w:eastAsia="仿宋" w:cs="仿宋"/>
                <w:sz w:val="24"/>
              </w:rPr>
              <w:t>1.产品质量</w:t>
            </w:r>
          </w:p>
        </w:tc>
        <w:tc>
          <w:tcPr>
            <w:tcW w:w="1417" w:type="dxa"/>
            <w:shd w:val="clear" w:color="auto" w:fill="auto"/>
            <w:vAlign w:val="center"/>
          </w:tcPr>
          <w:p w14:paraId="0136FCCF">
            <w:pPr>
              <w:ind w:firstLine="236" w:firstLineChars="100"/>
              <w:rPr>
                <w:rFonts w:ascii="仿宋" w:hAnsi="仿宋" w:eastAsia="仿宋" w:cs="仿宋"/>
                <w:sz w:val="24"/>
              </w:rPr>
            </w:pPr>
            <w:r>
              <w:rPr>
                <w:rFonts w:hint="eastAsia" w:ascii="仿宋" w:hAnsi="仿宋" w:eastAsia="仿宋" w:cs="仿宋"/>
                <w:sz w:val="24"/>
              </w:rPr>
              <w:t>30分</w:t>
            </w:r>
          </w:p>
          <w:p w14:paraId="24C09D0A">
            <w:pPr>
              <w:rPr>
                <w:rFonts w:ascii="仿宋" w:hAnsi="仿宋" w:eastAsia="仿宋" w:cs="仿宋"/>
                <w:sz w:val="24"/>
              </w:rPr>
            </w:pPr>
            <w:r>
              <w:rPr>
                <w:rFonts w:hint="eastAsia" w:ascii="仿宋" w:hAnsi="仿宋" w:eastAsia="仿宋" w:cs="仿宋"/>
                <w:sz w:val="24"/>
              </w:rPr>
              <w:t>①资质文件（15分）</w:t>
            </w:r>
          </w:p>
          <w:p w14:paraId="4048BD24">
            <w:pPr>
              <w:rPr>
                <w:rFonts w:ascii="仿宋" w:hAnsi="仿宋" w:eastAsia="仿宋" w:cs="仿宋"/>
                <w:sz w:val="24"/>
              </w:rPr>
            </w:pPr>
            <w:r>
              <w:rPr>
                <w:rFonts w:hint="eastAsia" w:ascii="仿宋" w:hAnsi="仿宋" w:eastAsia="仿宋" w:cs="仿宋"/>
                <w:sz w:val="24"/>
              </w:rPr>
              <w:t>②目视检查（15分）</w:t>
            </w:r>
          </w:p>
        </w:tc>
        <w:tc>
          <w:tcPr>
            <w:tcW w:w="3544" w:type="dxa"/>
            <w:shd w:val="clear" w:color="auto" w:fill="auto"/>
            <w:vAlign w:val="center"/>
          </w:tcPr>
          <w:p w14:paraId="5D4C0B06">
            <w:pPr>
              <w:rPr>
                <w:rStyle w:val="14"/>
                <w:rFonts w:ascii="仿宋" w:hAnsi="仿宋" w:eastAsia="仿宋" w:cs="仿宋"/>
                <w:sz w:val="24"/>
                <w:szCs w:val="24"/>
              </w:rPr>
            </w:pPr>
            <w:r>
              <w:rPr>
                <w:rFonts w:hint="eastAsia" w:ascii="仿宋" w:hAnsi="仿宋" w:eastAsia="仿宋" w:cs="仿宋"/>
                <w:sz w:val="24"/>
              </w:rPr>
              <w:t>①资质文件（包括营业执照、生产许可证、质检报告等是否具备）</w:t>
            </w:r>
            <w:r>
              <w:rPr>
                <w:rStyle w:val="14"/>
                <w:rFonts w:hint="eastAsia" w:ascii="仿宋" w:hAnsi="仿宋" w:eastAsia="仿宋" w:cs="仿宋"/>
                <w:sz w:val="24"/>
                <w:szCs w:val="24"/>
              </w:rPr>
              <w:t>；</w:t>
            </w:r>
          </w:p>
          <w:p w14:paraId="19FDE644">
            <w:pPr>
              <w:rPr>
                <w:rFonts w:ascii="黑体" w:hAnsi="黑体" w:eastAsia="黑体" w:cs="黑体"/>
                <w:sz w:val="24"/>
              </w:rPr>
            </w:pPr>
            <w:r>
              <w:rPr>
                <w:rStyle w:val="14"/>
                <w:rFonts w:hint="eastAsia" w:ascii="仿宋" w:hAnsi="仿宋" w:eastAsia="仿宋" w:cs="仿宋"/>
                <w:sz w:val="24"/>
                <w:szCs w:val="24"/>
              </w:rPr>
              <w:t>②目视检查（包含成分、批号、有效期、安全警示等是否齐全）。</w:t>
            </w:r>
          </w:p>
        </w:tc>
        <w:tc>
          <w:tcPr>
            <w:tcW w:w="1701" w:type="dxa"/>
            <w:shd w:val="clear" w:color="auto" w:fill="auto"/>
          </w:tcPr>
          <w:p w14:paraId="6F145414">
            <w:pPr>
              <w:rPr>
                <w:rFonts w:ascii="黑体" w:hAnsi="黑体" w:eastAsia="黑体" w:cs="黑体"/>
                <w:szCs w:val="32"/>
              </w:rPr>
            </w:pPr>
          </w:p>
        </w:tc>
      </w:tr>
      <w:tr w14:paraId="535F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093" w:type="dxa"/>
            <w:shd w:val="clear" w:color="auto" w:fill="auto"/>
            <w:vAlign w:val="center"/>
          </w:tcPr>
          <w:p w14:paraId="4AA7918F">
            <w:pPr>
              <w:rPr>
                <w:rFonts w:ascii="仿宋" w:hAnsi="仿宋" w:eastAsia="仿宋" w:cs="仿宋"/>
                <w:sz w:val="24"/>
              </w:rPr>
            </w:pPr>
            <w:r>
              <w:rPr>
                <w:rFonts w:hint="eastAsia" w:ascii="仿宋" w:hAnsi="仿宋" w:eastAsia="仿宋" w:cs="仿宋"/>
                <w:sz w:val="24"/>
              </w:rPr>
              <w:t>2.价格合理性</w:t>
            </w:r>
          </w:p>
        </w:tc>
        <w:tc>
          <w:tcPr>
            <w:tcW w:w="1417" w:type="dxa"/>
            <w:shd w:val="clear" w:color="auto" w:fill="auto"/>
            <w:vAlign w:val="center"/>
          </w:tcPr>
          <w:p w14:paraId="77576721">
            <w:pPr>
              <w:ind w:firstLine="236" w:firstLineChars="100"/>
              <w:rPr>
                <w:rFonts w:ascii="仿宋" w:hAnsi="仿宋" w:eastAsia="仿宋" w:cs="仿宋"/>
                <w:sz w:val="24"/>
              </w:rPr>
            </w:pPr>
            <w:r>
              <w:rPr>
                <w:rFonts w:hint="eastAsia" w:ascii="仿宋" w:hAnsi="仿宋" w:eastAsia="仿宋" w:cs="仿宋"/>
                <w:sz w:val="24"/>
              </w:rPr>
              <w:t>20分</w:t>
            </w:r>
          </w:p>
        </w:tc>
        <w:tc>
          <w:tcPr>
            <w:tcW w:w="3544" w:type="dxa"/>
            <w:shd w:val="clear" w:color="auto" w:fill="auto"/>
            <w:vAlign w:val="center"/>
          </w:tcPr>
          <w:p w14:paraId="0BFC28B6">
            <w:pPr>
              <w:rPr>
                <w:rFonts w:ascii="黑体" w:hAnsi="黑体" w:eastAsia="黑体" w:cs="黑体"/>
                <w:sz w:val="24"/>
              </w:rPr>
            </w:pPr>
            <w:r>
              <w:rPr>
                <w:rFonts w:hint="eastAsia" w:ascii="仿宋" w:hAnsi="仿宋" w:eastAsia="仿宋" w:cs="仿宋"/>
                <w:sz w:val="24"/>
              </w:rPr>
              <w:t>价格不高于公共平台价格得20分；价格高于公共平台价格得0分。</w:t>
            </w:r>
          </w:p>
        </w:tc>
        <w:tc>
          <w:tcPr>
            <w:tcW w:w="1701" w:type="dxa"/>
            <w:shd w:val="clear" w:color="auto" w:fill="auto"/>
          </w:tcPr>
          <w:p w14:paraId="48089123">
            <w:pPr>
              <w:rPr>
                <w:rFonts w:ascii="黑体" w:hAnsi="黑体" w:eastAsia="黑体" w:cs="黑体"/>
                <w:szCs w:val="32"/>
              </w:rPr>
            </w:pPr>
          </w:p>
        </w:tc>
      </w:tr>
      <w:tr w14:paraId="46F8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2093" w:type="dxa"/>
            <w:shd w:val="clear" w:color="auto" w:fill="auto"/>
            <w:vAlign w:val="center"/>
          </w:tcPr>
          <w:p w14:paraId="75137E78">
            <w:pPr>
              <w:rPr>
                <w:rFonts w:ascii="仿宋" w:hAnsi="仿宋" w:eastAsia="仿宋" w:cs="仿宋"/>
                <w:sz w:val="24"/>
              </w:rPr>
            </w:pPr>
            <w:r>
              <w:rPr>
                <w:rFonts w:hint="eastAsia" w:ascii="仿宋" w:hAnsi="仿宋" w:eastAsia="仿宋" w:cs="仿宋"/>
                <w:sz w:val="24"/>
              </w:rPr>
              <w:t>3.交货情况</w:t>
            </w:r>
          </w:p>
        </w:tc>
        <w:tc>
          <w:tcPr>
            <w:tcW w:w="1417" w:type="dxa"/>
            <w:shd w:val="clear" w:color="auto" w:fill="auto"/>
            <w:vAlign w:val="center"/>
          </w:tcPr>
          <w:p w14:paraId="0B4ED019">
            <w:pPr>
              <w:ind w:firstLine="236" w:firstLineChars="100"/>
              <w:rPr>
                <w:rFonts w:ascii="仿宋" w:hAnsi="仿宋" w:eastAsia="仿宋" w:cs="仿宋"/>
                <w:sz w:val="24"/>
              </w:rPr>
            </w:pPr>
            <w:r>
              <w:rPr>
                <w:rFonts w:hint="eastAsia" w:ascii="仿宋" w:hAnsi="仿宋" w:eastAsia="仿宋" w:cs="仿宋"/>
                <w:sz w:val="24"/>
              </w:rPr>
              <w:t>20分</w:t>
            </w:r>
          </w:p>
        </w:tc>
        <w:tc>
          <w:tcPr>
            <w:tcW w:w="3544" w:type="dxa"/>
            <w:shd w:val="clear" w:color="auto" w:fill="auto"/>
            <w:vAlign w:val="center"/>
          </w:tcPr>
          <w:p w14:paraId="7733338E">
            <w:pPr>
              <w:rPr>
                <w:rFonts w:ascii="仿宋" w:hAnsi="仿宋" w:eastAsia="仿宋" w:cs="仿宋"/>
                <w:sz w:val="24"/>
              </w:rPr>
            </w:pPr>
            <w:r>
              <w:rPr>
                <w:rFonts w:hint="eastAsia" w:ascii="仿宋" w:hAnsi="仿宋" w:eastAsia="仿宋" w:cs="仿宋"/>
                <w:sz w:val="24"/>
              </w:rPr>
              <w:t>根据交货情况（包括交货时间、数量、按时交货情况、紧急订单处理等）。</w:t>
            </w:r>
          </w:p>
        </w:tc>
        <w:tc>
          <w:tcPr>
            <w:tcW w:w="1701" w:type="dxa"/>
            <w:shd w:val="clear" w:color="auto" w:fill="auto"/>
          </w:tcPr>
          <w:p w14:paraId="7470E4A3">
            <w:pPr>
              <w:rPr>
                <w:rFonts w:ascii="黑体" w:hAnsi="黑体" w:eastAsia="黑体" w:cs="黑体"/>
                <w:szCs w:val="32"/>
              </w:rPr>
            </w:pPr>
          </w:p>
        </w:tc>
      </w:tr>
      <w:tr w14:paraId="2944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shd w:val="clear" w:color="auto" w:fill="auto"/>
            <w:vAlign w:val="center"/>
          </w:tcPr>
          <w:p w14:paraId="38462AFB">
            <w:pPr>
              <w:rPr>
                <w:rFonts w:ascii="仿宋" w:hAnsi="仿宋" w:eastAsia="仿宋" w:cs="仿宋"/>
                <w:sz w:val="24"/>
              </w:rPr>
            </w:pPr>
            <w:r>
              <w:rPr>
                <w:rFonts w:hint="eastAsia" w:ascii="仿宋" w:hAnsi="仿宋" w:eastAsia="仿宋" w:cs="仿宋"/>
                <w:sz w:val="24"/>
              </w:rPr>
              <w:t>4.售后服务水平（包括但不限于退换货、投诉等）</w:t>
            </w:r>
          </w:p>
        </w:tc>
        <w:tc>
          <w:tcPr>
            <w:tcW w:w="1417" w:type="dxa"/>
            <w:shd w:val="clear" w:color="auto" w:fill="auto"/>
            <w:vAlign w:val="center"/>
          </w:tcPr>
          <w:p w14:paraId="3CF3AD9A">
            <w:pPr>
              <w:ind w:firstLine="236" w:firstLineChars="100"/>
              <w:rPr>
                <w:rFonts w:ascii="仿宋" w:hAnsi="仿宋" w:eastAsia="仿宋" w:cs="仿宋"/>
                <w:sz w:val="24"/>
              </w:rPr>
            </w:pPr>
            <w:r>
              <w:rPr>
                <w:rFonts w:hint="eastAsia" w:ascii="仿宋" w:hAnsi="仿宋" w:eastAsia="仿宋" w:cs="仿宋"/>
                <w:sz w:val="24"/>
              </w:rPr>
              <w:t>20分</w:t>
            </w:r>
          </w:p>
        </w:tc>
        <w:tc>
          <w:tcPr>
            <w:tcW w:w="3544" w:type="dxa"/>
            <w:shd w:val="clear" w:color="auto" w:fill="auto"/>
            <w:vAlign w:val="center"/>
          </w:tcPr>
          <w:p w14:paraId="7ED319EB">
            <w:pPr>
              <w:rPr>
                <w:rFonts w:ascii="黑体" w:hAnsi="黑体" w:eastAsia="黑体" w:cs="黑体"/>
                <w:sz w:val="24"/>
              </w:rPr>
            </w:pPr>
            <w:r>
              <w:rPr>
                <w:rFonts w:hint="eastAsia" w:ascii="仿宋" w:hAnsi="仿宋" w:eastAsia="仿宋" w:cs="仿宋"/>
                <w:sz w:val="24"/>
              </w:rPr>
              <w:t>根据售后服务响应情况、解决问题能力、退换货、投诉等。</w:t>
            </w:r>
          </w:p>
        </w:tc>
        <w:tc>
          <w:tcPr>
            <w:tcW w:w="1701" w:type="dxa"/>
            <w:shd w:val="clear" w:color="auto" w:fill="auto"/>
          </w:tcPr>
          <w:p w14:paraId="3DC859E2">
            <w:pPr>
              <w:rPr>
                <w:rFonts w:ascii="黑体" w:hAnsi="黑体" w:eastAsia="黑体" w:cs="黑体"/>
                <w:szCs w:val="32"/>
              </w:rPr>
            </w:pPr>
          </w:p>
        </w:tc>
      </w:tr>
      <w:tr w14:paraId="4AB2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2093" w:type="dxa"/>
            <w:shd w:val="clear" w:color="auto" w:fill="auto"/>
            <w:vAlign w:val="center"/>
          </w:tcPr>
          <w:p w14:paraId="3128456D">
            <w:pPr>
              <w:rPr>
                <w:rFonts w:ascii="仿宋" w:hAnsi="仿宋" w:eastAsia="仿宋" w:cs="仿宋"/>
                <w:sz w:val="24"/>
              </w:rPr>
            </w:pPr>
            <w:r>
              <w:rPr>
                <w:rFonts w:hint="eastAsia" w:ascii="仿宋" w:hAnsi="仿宋" w:eastAsia="仿宋" w:cs="仿宋"/>
                <w:sz w:val="24"/>
              </w:rPr>
              <w:t>5.沟通服务态度</w:t>
            </w:r>
          </w:p>
        </w:tc>
        <w:tc>
          <w:tcPr>
            <w:tcW w:w="1417" w:type="dxa"/>
            <w:shd w:val="clear" w:color="auto" w:fill="auto"/>
            <w:vAlign w:val="center"/>
          </w:tcPr>
          <w:p w14:paraId="1766C66F">
            <w:pPr>
              <w:ind w:firstLine="236" w:firstLineChars="100"/>
              <w:rPr>
                <w:rFonts w:ascii="仿宋" w:hAnsi="仿宋" w:eastAsia="仿宋" w:cs="仿宋"/>
                <w:sz w:val="24"/>
              </w:rPr>
            </w:pPr>
            <w:r>
              <w:rPr>
                <w:rFonts w:hint="eastAsia" w:ascii="仿宋" w:hAnsi="仿宋" w:eastAsia="仿宋" w:cs="仿宋"/>
                <w:sz w:val="24"/>
              </w:rPr>
              <w:t>10分</w:t>
            </w:r>
          </w:p>
        </w:tc>
        <w:tc>
          <w:tcPr>
            <w:tcW w:w="3544" w:type="dxa"/>
            <w:shd w:val="clear" w:color="auto" w:fill="auto"/>
            <w:vAlign w:val="center"/>
          </w:tcPr>
          <w:p w14:paraId="09082B9F">
            <w:pPr>
              <w:rPr>
                <w:rFonts w:ascii="仿宋" w:hAnsi="仿宋" w:eastAsia="仿宋" w:cs="仿宋"/>
                <w:sz w:val="24"/>
              </w:rPr>
            </w:pPr>
            <w:r>
              <w:rPr>
                <w:rFonts w:hint="eastAsia" w:ascii="仿宋" w:hAnsi="仿宋" w:eastAsia="仿宋" w:cs="仿宋"/>
                <w:sz w:val="24"/>
              </w:rPr>
              <w:t>根据沟通情况、服务态度等。</w:t>
            </w:r>
          </w:p>
        </w:tc>
        <w:tc>
          <w:tcPr>
            <w:tcW w:w="1701" w:type="dxa"/>
            <w:shd w:val="clear" w:color="auto" w:fill="auto"/>
          </w:tcPr>
          <w:p w14:paraId="243A5964">
            <w:pPr>
              <w:rPr>
                <w:rFonts w:ascii="黑体" w:hAnsi="黑体" w:eastAsia="黑体" w:cs="黑体"/>
                <w:szCs w:val="32"/>
              </w:rPr>
            </w:pPr>
          </w:p>
        </w:tc>
      </w:tr>
    </w:tbl>
    <w:p w14:paraId="72C8E456">
      <w:pPr>
        <w:spacing w:line="480" w:lineRule="exact"/>
        <w:rPr>
          <w:rFonts w:ascii="仿宋" w:hAnsi="仿宋" w:eastAsia="仿宋" w:cs="仿宋"/>
          <w:sz w:val="28"/>
          <w:szCs w:val="28"/>
        </w:rPr>
      </w:pPr>
      <w:bookmarkStart w:id="7" w:name="OLE_LINK7"/>
      <w:r>
        <w:rPr>
          <w:rFonts w:hint="eastAsia" w:ascii="仿宋" w:hAnsi="仿宋" w:eastAsia="仿宋" w:cs="仿宋"/>
          <w:sz w:val="28"/>
          <w:szCs w:val="28"/>
        </w:rPr>
        <w:t>综合评分</w:t>
      </w:r>
      <w:bookmarkEnd w:id="7"/>
      <w:r>
        <w:rPr>
          <w:rFonts w:hint="eastAsia" w:ascii="仿宋" w:hAnsi="仿宋" w:eastAsia="仿宋" w:cs="仿宋"/>
          <w:sz w:val="28"/>
          <w:szCs w:val="28"/>
        </w:rPr>
        <w:t>：</w:t>
      </w:r>
    </w:p>
    <w:p w14:paraId="7AD06F7F">
      <w:pPr>
        <w:spacing w:line="480" w:lineRule="exact"/>
        <w:rPr>
          <w:rFonts w:ascii="仿宋" w:hAnsi="仿宋" w:eastAsia="仿宋" w:cs="仿宋"/>
          <w:sz w:val="28"/>
          <w:szCs w:val="28"/>
        </w:rPr>
      </w:pPr>
      <w:r>
        <w:rPr>
          <w:rFonts w:hint="eastAsia" w:ascii="仿宋" w:hAnsi="仿宋" w:eastAsia="仿宋" w:cs="仿宋"/>
          <w:sz w:val="28"/>
          <w:szCs w:val="28"/>
        </w:rPr>
        <w:t>等级：</w:t>
      </w:r>
      <w:r>
        <w:rPr>
          <w:rFonts w:ascii="仿宋" w:hAnsi="仿宋" w:eastAsia="仿宋" w:cs="仿宋"/>
          <w:sz w:val="28"/>
          <w:szCs w:val="28"/>
        </w:rPr>
        <w:sym w:font="Wingdings 2" w:char="00A3"/>
      </w:r>
      <w:r>
        <w:rPr>
          <w:rFonts w:hint="eastAsia" w:ascii="仿宋" w:hAnsi="仿宋" w:eastAsia="仿宋" w:cs="仿宋"/>
          <w:sz w:val="28"/>
          <w:szCs w:val="28"/>
        </w:rPr>
        <w:t>合格（综合评分≥</w:t>
      </w:r>
      <w:r>
        <w:rPr>
          <w:rFonts w:ascii="仿宋" w:hAnsi="仿宋" w:eastAsia="仿宋" w:cs="仿宋"/>
          <w:sz w:val="28"/>
          <w:szCs w:val="28"/>
        </w:rPr>
        <w:t>80分）</w:t>
      </w:r>
    </w:p>
    <w:p w14:paraId="23762136">
      <w:pPr>
        <w:spacing w:line="480" w:lineRule="exact"/>
        <w:rPr>
          <w:rFonts w:ascii="仿宋" w:hAnsi="仿宋" w:eastAsia="仿宋" w:cs="仿宋"/>
          <w:sz w:val="28"/>
          <w:szCs w:val="28"/>
        </w:rPr>
      </w:pPr>
      <w:r>
        <w:rPr>
          <w:rFonts w:hint="eastAsia" w:ascii="仿宋" w:hAnsi="仿宋" w:eastAsia="仿宋" w:cs="仿宋"/>
          <w:sz w:val="28"/>
          <w:szCs w:val="28"/>
        </w:rPr>
        <w:t>　　　</w:t>
      </w:r>
      <w:r>
        <w:rPr>
          <w:rFonts w:ascii="仿宋" w:hAnsi="仿宋" w:eastAsia="仿宋" w:cs="仿宋"/>
          <w:sz w:val="28"/>
          <w:szCs w:val="28"/>
        </w:rPr>
        <w:sym w:font="Wingdings 2" w:char="00A3"/>
      </w:r>
      <w:r>
        <w:rPr>
          <w:rFonts w:hint="eastAsia" w:ascii="仿宋" w:hAnsi="仿宋" w:eastAsia="仿宋" w:cs="仿宋"/>
          <w:sz w:val="28"/>
          <w:szCs w:val="28"/>
        </w:rPr>
        <w:t>基本合格（</w:t>
      </w:r>
      <w:r>
        <w:rPr>
          <w:rFonts w:ascii="仿宋" w:hAnsi="仿宋" w:eastAsia="仿宋" w:cs="仿宋"/>
          <w:sz w:val="28"/>
          <w:szCs w:val="28"/>
        </w:rPr>
        <w:t>70分≤</w:t>
      </w:r>
      <w:r>
        <w:rPr>
          <w:rFonts w:hint="eastAsia" w:ascii="仿宋" w:hAnsi="仿宋" w:eastAsia="仿宋" w:cs="仿宋"/>
          <w:sz w:val="28"/>
          <w:szCs w:val="28"/>
        </w:rPr>
        <w:t>综合评分</w:t>
      </w:r>
      <w:r>
        <w:rPr>
          <w:rFonts w:ascii="仿宋" w:hAnsi="仿宋" w:eastAsia="仿宋" w:cs="仿宋"/>
          <w:sz w:val="28"/>
          <w:szCs w:val="28"/>
        </w:rPr>
        <w:t>&lt;80分</w:t>
      </w:r>
      <w:r>
        <w:rPr>
          <w:rFonts w:hint="eastAsia" w:ascii="仿宋" w:hAnsi="仿宋" w:eastAsia="仿宋" w:cs="仿宋"/>
          <w:sz w:val="28"/>
          <w:szCs w:val="28"/>
        </w:rPr>
        <w:t>）</w:t>
      </w:r>
    </w:p>
    <w:p w14:paraId="34E447A5">
      <w:pPr>
        <w:spacing w:line="480" w:lineRule="exact"/>
        <w:rPr>
          <w:rFonts w:ascii="仿宋" w:hAnsi="仿宋" w:eastAsia="仿宋" w:cs="仿宋"/>
          <w:sz w:val="28"/>
          <w:szCs w:val="28"/>
        </w:rPr>
      </w:pPr>
      <w:r>
        <w:rPr>
          <w:rFonts w:hint="eastAsia" w:ascii="仿宋" w:hAnsi="仿宋" w:eastAsia="仿宋" w:cs="仿宋"/>
          <w:sz w:val="28"/>
          <w:szCs w:val="28"/>
        </w:rPr>
        <w:t>　　　</w:t>
      </w:r>
      <w:r>
        <w:rPr>
          <w:rFonts w:ascii="仿宋" w:hAnsi="仿宋" w:eastAsia="仿宋" w:cs="仿宋"/>
          <w:sz w:val="28"/>
          <w:szCs w:val="28"/>
        </w:rPr>
        <w:sym w:font="Wingdings 2" w:char="00A3"/>
      </w:r>
      <w:r>
        <w:rPr>
          <w:rFonts w:hint="eastAsia" w:ascii="仿宋" w:hAnsi="仿宋" w:eastAsia="仿宋" w:cs="仿宋"/>
          <w:sz w:val="28"/>
          <w:szCs w:val="28"/>
        </w:rPr>
        <w:t>不合格（综合评分</w:t>
      </w:r>
      <w:r>
        <w:rPr>
          <w:rFonts w:ascii="仿宋" w:hAnsi="仿宋" w:eastAsia="仿宋" w:cs="仿宋"/>
          <w:sz w:val="28"/>
          <w:szCs w:val="28"/>
        </w:rPr>
        <w:t>&lt;70分）</w:t>
      </w:r>
    </w:p>
    <w:p w14:paraId="4534B583">
      <w:pPr>
        <w:spacing w:line="480" w:lineRule="exact"/>
        <w:rPr>
          <w:rFonts w:ascii="仿宋" w:hAnsi="仿宋" w:eastAsia="仿宋" w:cs="仿宋"/>
          <w:sz w:val="28"/>
          <w:szCs w:val="28"/>
        </w:rPr>
      </w:pPr>
      <w:r>
        <w:rPr>
          <w:rFonts w:hint="eastAsia" w:ascii="仿宋" w:hAnsi="仿宋" w:eastAsia="仿宋" w:cs="仿宋"/>
          <w:sz w:val="28"/>
          <w:szCs w:val="28"/>
        </w:rPr>
        <w:t>评估结论：</w:t>
      </w:r>
      <w:r>
        <w:rPr>
          <w:rFonts w:ascii="仿宋" w:hAnsi="仿宋" w:eastAsia="仿宋" w:cs="仿宋"/>
          <w:sz w:val="28"/>
          <w:szCs w:val="28"/>
        </w:rPr>
        <w:sym w:font="Wingdings 2" w:char="00A3"/>
      </w:r>
      <w:r>
        <w:rPr>
          <w:rFonts w:hint="eastAsia" w:ascii="仿宋" w:hAnsi="仿宋" w:eastAsia="仿宋" w:cs="仿宋"/>
          <w:sz w:val="28"/>
          <w:szCs w:val="28"/>
        </w:rPr>
        <w:t>继续合作</w:t>
      </w:r>
      <w:r>
        <w:rPr>
          <w:rFonts w:ascii="仿宋" w:hAnsi="仿宋" w:eastAsia="仿宋" w:cs="仿宋"/>
          <w:sz w:val="28"/>
          <w:szCs w:val="28"/>
        </w:rPr>
        <w:t xml:space="preserve"> </w:t>
      </w:r>
      <w:r>
        <w:rPr>
          <w:rFonts w:ascii="仿宋" w:hAnsi="仿宋" w:eastAsia="仿宋" w:cs="仿宋"/>
          <w:sz w:val="28"/>
          <w:szCs w:val="28"/>
        </w:rPr>
        <w:sym w:font="Wingdings 2" w:char="00A3"/>
      </w:r>
      <w:r>
        <w:rPr>
          <w:rFonts w:hint="eastAsia" w:ascii="仿宋" w:hAnsi="仿宋" w:eastAsia="仿宋" w:cs="仿宋"/>
          <w:sz w:val="28"/>
          <w:szCs w:val="28"/>
        </w:rPr>
        <w:t>限期整改</w:t>
      </w:r>
      <w:r>
        <w:rPr>
          <w:rFonts w:ascii="仿宋" w:hAnsi="仿宋" w:eastAsia="仿宋" w:cs="仿宋"/>
          <w:sz w:val="28"/>
          <w:szCs w:val="28"/>
        </w:rPr>
        <w:t xml:space="preserve">  </w:t>
      </w:r>
      <w:r>
        <w:rPr>
          <w:rFonts w:ascii="仿宋" w:hAnsi="仿宋" w:eastAsia="仿宋" w:cs="仿宋"/>
          <w:sz w:val="28"/>
          <w:szCs w:val="28"/>
        </w:rPr>
        <w:sym w:font="Wingdings 2" w:char="00A3"/>
      </w:r>
      <w:bookmarkStart w:id="8" w:name="OLE_LINK6"/>
      <w:bookmarkStart w:id="9" w:name="OLE_LINK5"/>
      <w:r>
        <w:rPr>
          <w:rFonts w:hint="eastAsia" w:ascii="仿宋" w:hAnsi="仿宋" w:eastAsia="仿宋" w:cs="仿宋"/>
          <w:sz w:val="28"/>
          <w:szCs w:val="28"/>
        </w:rPr>
        <w:t>终止合作</w:t>
      </w:r>
      <w:bookmarkEnd w:id="8"/>
      <w:bookmarkEnd w:id="9"/>
    </w:p>
    <w:p w14:paraId="56FDA9D4">
      <w:pPr>
        <w:spacing w:line="480" w:lineRule="exact"/>
        <w:rPr>
          <w:rFonts w:ascii="仿宋" w:hAnsi="仿宋" w:eastAsia="仿宋" w:cs="仿宋"/>
          <w:sz w:val="28"/>
          <w:szCs w:val="28"/>
        </w:rPr>
      </w:pPr>
      <w:r>
        <w:rPr>
          <w:rFonts w:ascii="仿宋" w:hAnsi="仿宋" w:eastAsia="仿宋" w:cs="仿宋"/>
          <w:sz w:val="28"/>
          <w:szCs w:val="28"/>
        </w:rPr>
        <w:t xml:space="preserve">                      评估人（签字）：</w:t>
      </w:r>
    </w:p>
    <w:p w14:paraId="7397B9D3">
      <w:pPr>
        <w:spacing w:line="480" w:lineRule="exact"/>
        <w:rPr>
          <w:rFonts w:ascii="仿宋" w:hAnsi="仿宋" w:eastAsia="仿宋" w:cs="仿宋"/>
          <w:sz w:val="28"/>
          <w:szCs w:val="28"/>
        </w:rPr>
      </w:pPr>
      <w:r>
        <w:rPr>
          <w:rFonts w:hint="eastAsia" w:ascii="仿宋" w:hAnsi="仿宋" w:eastAsia="仿宋" w:cs="仿宋"/>
          <w:sz w:val="28"/>
          <w:szCs w:val="28"/>
        </w:rPr>
        <w:t>　　　　　　　　　　　　　</w:t>
      </w:r>
      <w:r>
        <w:rPr>
          <w:rFonts w:ascii="仿宋" w:hAnsi="仿宋" w:eastAsia="仿宋" w:cs="仿宋"/>
          <w:sz w:val="28"/>
          <w:szCs w:val="28"/>
        </w:rPr>
        <w:t xml:space="preserve"> 联系电话：</w:t>
      </w:r>
    </w:p>
    <w:p w14:paraId="73DD1890">
      <w:pPr>
        <w:spacing w:line="480" w:lineRule="exact"/>
        <w:rPr>
          <w:rFonts w:ascii="仿宋" w:hAnsi="仿宋" w:eastAsia="仿宋" w:cs="仿宋"/>
          <w:sz w:val="28"/>
          <w:szCs w:val="28"/>
        </w:rPr>
      </w:pPr>
      <w:r>
        <w:rPr>
          <w:rFonts w:ascii="仿宋" w:hAnsi="仿宋" w:eastAsia="仿宋" w:cs="仿宋"/>
          <w:sz w:val="28"/>
          <w:szCs w:val="28"/>
        </w:rPr>
        <w:t xml:space="preserve">                           评估日期：</w:t>
      </w:r>
      <w:bookmarkStart w:id="10" w:name="copy_to"/>
      <w:bookmarkEnd w:id="10"/>
    </w:p>
    <w:tbl>
      <w:tblPr>
        <w:tblStyle w:val="10"/>
        <w:tblW w:w="0" w:type="auto"/>
        <w:tblInd w:w="10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73"/>
      </w:tblGrid>
      <w:tr w14:paraId="4BCAEB5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8873" w:type="dxa"/>
          </w:tcPr>
          <w:p w14:paraId="1E6F1498">
            <w:pPr>
              <w:tabs>
                <w:tab w:val="left" w:pos="216"/>
                <w:tab w:val="left" w:pos="8478"/>
              </w:tabs>
              <w:spacing w:line="600" w:lineRule="exact"/>
              <w:rPr>
                <w:rFonts w:ascii="仿宋" w:hAnsi="仿宋" w:eastAsia="仿宋"/>
                <w:sz w:val="28"/>
                <w:szCs w:val="28"/>
              </w:rPr>
            </w:pPr>
            <w:r>
              <w:rPr>
                <w:rFonts w:ascii="仿宋" w:hAnsi="仿宋" w:eastAsia="仿宋"/>
                <w:sz w:val="28"/>
                <w:szCs w:val="28"/>
              </w:rPr>
              <w:t>福建中医</w:t>
            </w:r>
            <w:r>
              <w:rPr>
                <w:rFonts w:hint="eastAsia" w:ascii="仿宋" w:hAnsi="仿宋" w:eastAsia="仿宋"/>
                <w:sz w:val="28"/>
                <w:szCs w:val="28"/>
              </w:rPr>
              <w:t>药大学办公室</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 xml:space="preserve">              </w:t>
            </w:r>
            <w:r>
              <w:rPr>
                <w:rFonts w:ascii="仿宋" w:hAnsi="仿宋" w:eastAsia="仿宋"/>
                <w:sz w:val="28"/>
                <w:szCs w:val="28"/>
              </w:rPr>
              <w:t>2025</w:t>
            </w:r>
            <w:r>
              <w:rPr>
                <w:rFonts w:hint="eastAsia" w:ascii="仿宋" w:hAnsi="仿宋" w:eastAsia="仿宋"/>
                <w:sz w:val="28"/>
                <w:szCs w:val="28"/>
              </w:rPr>
              <w:t>年11月27日</w:t>
            </w:r>
            <w:r>
              <w:rPr>
                <w:rFonts w:ascii="仿宋" w:hAnsi="仿宋" w:eastAsia="仿宋"/>
                <w:sz w:val="28"/>
                <w:szCs w:val="28"/>
              </w:rPr>
              <w:t>印发</w:t>
            </w:r>
          </w:p>
        </w:tc>
      </w:tr>
    </w:tbl>
    <w:p w14:paraId="3EB128F6">
      <w:pPr>
        <w:pStyle w:val="4"/>
        <w:kinsoku w:val="0"/>
        <w:wordWrap w:val="0"/>
        <w:overflowPunct w:val="0"/>
        <w:autoSpaceDE w:val="0"/>
        <w:autoSpaceDN w:val="0"/>
        <w:adjustRightInd w:val="0"/>
        <w:snapToGrid w:val="0"/>
        <w:ind w:firstLine="0"/>
        <w:rPr>
          <w:rFonts w:ascii="方正仿宋_GBK" w:eastAsia="方正仿宋_GBK"/>
          <w:sz w:val="10"/>
        </w:rPr>
      </w:pPr>
    </w:p>
    <w:sectPr>
      <w:footerReference r:id="rId5" w:type="default"/>
      <w:footerReference r:id="rId6" w:type="even"/>
      <w:pgSz w:w="11907" w:h="16840"/>
      <w:pgMar w:top="2098" w:right="1474" w:bottom="1134" w:left="1588" w:header="851" w:footer="992" w:gutter="0"/>
      <w:cols w:space="425"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6F6C">
    <w:pPr>
      <w:pStyle w:val="8"/>
      <w:jc w:val="right"/>
      <w:rPr>
        <w:rFonts w:ascii="等线" w:hAnsi="等线"/>
        <w:sz w:val="28"/>
        <w:szCs w:val="28"/>
      </w:rPr>
    </w:pPr>
    <w:r>
      <w:rPr>
        <w:rFonts w:ascii="等线" w:hAnsi="等线"/>
        <w:sz w:val="28"/>
        <w:szCs w:val="28"/>
      </w:rPr>
      <w:t xml:space="preserve">— </w:t>
    </w:r>
    <w:r>
      <w:rPr>
        <w:rFonts w:ascii="等线" w:hAnsi="等线"/>
        <w:sz w:val="28"/>
        <w:szCs w:val="28"/>
      </w:rPr>
      <w:fldChar w:fldCharType="begin"/>
    </w:r>
    <w:r>
      <w:rPr>
        <w:rFonts w:ascii="等线" w:hAnsi="等线"/>
        <w:sz w:val="28"/>
        <w:szCs w:val="28"/>
      </w:rPr>
      <w:instrText xml:space="preserve">PAGE   \* MERGEFORMAT</w:instrText>
    </w:r>
    <w:r>
      <w:rPr>
        <w:rFonts w:ascii="等线" w:hAnsi="等线"/>
        <w:sz w:val="28"/>
        <w:szCs w:val="28"/>
      </w:rPr>
      <w:fldChar w:fldCharType="separate"/>
    </w:r>
    <w:r>
      <w:rPr>
        <w:rFonts w:ascii="等线" w:hAnsi="等线"/>
        <w:sz w:val="28"/>
        <w:szCs w:val="28"/>
        <w:lang w:val="zh-CN"/>
      </w:rPr>
      <w:t>1</w:t>
    </w:r>
    <w:r>
      <w:rPr>
        <w:rFonts w:ascii="等线" w:hAnsi="等线"/>
        <w:sz w:val="28"/>
        <w:szCs w:val="28"/>
      </w:rPr>
      <w:fldChar w:fldCharType="end"/>
    </w:r>
    <w:r>
      <w:rPr>
        <w:rFonts w:ascii="等线" w:hAnsi="等线"/>
        <w:sz w:val="28"/>
        <w:szCs w:val="28"/>
      </w:rPr>
      <w:t xml:space="preserve"> —</w:t>
    </w:r>
  </w:p>
  <w:p w14:paraId="4F8FD68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F1244">
    <w:pPr>
      <w:pStyle w:val="8"/>
      <w:rPr>
        <w:rFonts w:ascii="等线" w:hAnsi="等线"/>
        <w:sz w:val="28"/>
        <w:szCs w:val="28"/>
      </w:rPr>
    </w:pPr>
    <w:r>
      <w:rPr>
        <w:rFonts w:ascii="等线" w:hAnsi="等线"/>
        <w:sz w:val="28"/>
        <w:szCs w:val="28"/>
      </w:rPr>
      <w:t xml:space="preserve">— </w:t>
    </w:r>
    <w:r>
      <w:rPr>
        <w:rFonts w:ascii="等线" w:hAnsi="等线"/>
        <w:sz w:val="28"/>
        <w:szCs w:val="28"/>
      </w:rPr>
      <w:fldChar w:fldCharType="begin"/>
    </w:r>
    <w:r>
      <w:rPr>
        <w:rFonts w:ascii="等线" w:hAnsi="等线"/>
        <w:sz w:val="28"/>
        <w:szCs w:val="28"/>
      </w:rPr>
      <w:instrText xml:space="preserve">PAGE   \* MERGEFORMAT</w:instrText>
    </w:r>
    <w:r>
      <w:rPr>
        <w:rFonts w:ascii="等线" w:hAnsi="等线"/>
        <w:sz w:val="28"/>
        <w:szCs w:val="28"/>
      </w:rPr>
      <w:fldChar w:fldCharType="separate"/>
    </w:r>
    <w:r>
      <w:rPr>
        <w:rFonts w:ascii="等线" w:hAnsi="等线"/>
        <w:sz w:val="28"/>
        <w:szCs w:val="28"/>
        <w:lang w:val="zh-CN"/>
      </w:rPr>
      <w:t>6</w:t>
    </w:r>
    <w:r>
      <w:rPr>
        <w:rFonts w:ascii="等线" w:hAnsi="等线"/>
        <w:sz w:val="28"/>
        <w:szCs w:val="28"/>
      </w:rPr>
      <w:fldChar w:fldCharType="end"/>
    </w:r>
    <w:r>
      <w:rPr>
        <w:rFonts w:ascii="等线" w:hAnsi="等线"/>
        <w:sz w:val="28"/>
        <w:szCs w:val="28"/>
      </w:rPr>
      <w:t xml:space="preserve"> —</w:t>
    </w:r>
  </w:p>
  <w:p w14:paraId="5A6DF99F">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4D75F">
    <w:pPr>
      <w:pStyle w:val="8"/>
      <w:framePr w:wrap="around" w:vAnchor="text" w:hAnchor="margin" w:xAlign="outside" w:y="1"/>
      <w:rPr>
        <w:rStyle w:val="13"/>
        <w:sz w:val="28"/>
      </w:rPr>
    </w:pPr>
    <w:r>
      <w:rPr>
        <w:rStyle w:val="13"/>
        <w:rFonts w:hint="eastAsia"/>
        <w:sz w:val="28"/>
      </w:rPr>
      <w:t>—</w:t>
    </w:r>
    <w:r>
      <w:rPr>
        <w:rStyle w:val="13"/>
        <w:sz w:val="28"/>
      </w:rPr>
      <w:fldChar w:fldCharType="begin"/>
    </w:r>
    <w:r>
      <w:rPr>
        <w:rStyle w:val="13"/>
        <w:sz w:val="28"/>
      </w:rPr>
      <w:instrText xml:space="preserve">PAGE  </w:instrText>
    </w:r>
    <w:r>
      <w:rPr>
        <w:rStyle w:val="13"/>
        <w:sz w:val="28"/>
      </w:rPr>
      <w:fldChar w:fldCharType="separate"/>
    </w:r>
    <w:r>
      <w:rPr>
        <w:rStyle w:val="13"/>
        <w:sz w:val="28"/>
      </w:rPr>
      <w:t>6</w:t>
    </w:r>
    <w:r>
      <w:rPr>
        <w:rStyle w:val="13"/>
        <w:sz w:val="28"/>
      </w:rPr>
      <w:fldChar w:fldCharType="end"/>
    </w:r>
    <w:r>
      <w:rPr>
        <w:rStyle w:val="13"/>
        <w:rFonts w:hint="eastAsia"/>
        <w:sz w:val="28"/>
      </w:rPr>
      <w:t>—</w:t>
    </w:r>
  </w:p>
  <w:p w14:paraId="0DC08374">
    <w:pPr>
      <w:pStyle w:val="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AB0A">
    <w:pPr>
      <w:pStyle w:val="8"/>
      <w:framePr w:wrap="around" w:vAnchor="text" w:hAnchor="margin" w:xAlign="outside" w:y="1"/>
      <w:rPr>
        <w:rStyle w:val="13"/>
      </w:rPr>
    </w:pPr>
    <w:r>
      <w:rPr>
        <w:rStyle w:val="13"/>
      </w:rPr>
      <w:fldChar w:fldCharType="begin"/>
    </w:r>
    <w:r>
      <w:rPr>
        <w:rStyle w:val="13"/>
      </w:rPr>
      <w:instrText xml:space="preserve">PAGE  </w:instrText>
    </w:r>
    <w:r>
      <w:rPr>
        <w:rStyle w:val="13"/>
      </w:rPr>
      <w:fldChar w:fldCharType="end"/>
    </w:r>
  </w:p>
  <w:p w14:paraId="4DA46C76">
    <w:pPr>
      <w:pStyle w:val="8"/>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attachedTemplate r:id="rId1"/>
  <w:revisionView w:markup="0"/>
  <w:documentProtection w:edit="forms" w:enforcement="1" w:cryptProviderType="rsaAES" w:cryptAlgorithmClass="hash" w:cryptAlgorithmType="typeAny" w:cryptAlgorithmSid="14" w:cryptSpinCount="100000" w:hash="ORBIiTvczyNbt/1zk1F6hAtwffKmpojn6aFgBK5EtxK/2Tnf6l8PKp6gRzUz8AjjB8ftPaxGhJevstd2GmS9oQ==" w:salt="+g/HSwQx9CiTySbOdMDeHw=="/>
  <w:defaultTabStop w:val="425"/>
  <w:drawingGridHorizontalSpacing w:val="20"/>
  <w:drawingGridVerticalSpacing w:val="20"/>
  <w:displayHorizontalDrawingGridEvery w:val="0"/>
  <w:characterSpacingControl w:val="compressPunctuation"/>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DocumentID" w:val="{F51C117A-75BB-4D12-AE93-F2B54F09E8F8}"/>
    <w:docVar w:name="DocumentName" w:val="temp97085662"/>
    <w:docVar w:name="KGWebUrl" w:val="http://oanew.fjtcm.edu.cn:80/seeyon/officeservlet"/>
  </w:docVars>
  <w:rsids>
    <w:rsidRoot w:val="003A7A9D"/>
    <w:rsid w:val="000302F0"/>
    <w:rsid w:val="00036160"/>
    <w:rsid w:val="0005706A"/>
    <w:rsid w:val="00072E21"/>
    <w:rsid w:val="000B5ED2"/>
    <w:rsid w:val="000F3560"/>
    <w:rsid w:val="000F59BF"/>
    <w:rsid w:val="00103E79"/>
    <w:rsid w:val="001643A3"/>
    <w:rsid w:val="00193614"/>
    <w:rsid w:val="001A04B2"/>
    <w:rsid w:val="001A3F9E"/>
    <w:rsid w:val="001B12B1"/>
    <w:rsid w:val="001D7739"/>
    <w:rsid w:val="00224EAB"/>
    <w:rsid w:val="00245974"/>
    <w:rsid w:val="00261282"/>
    <w:rsid w:val="0026318D"/>
    <w:rsid w:val="00266BCC"/>
    <w:rsid w:val="00284812"/>
    <w:rsid w:val="002A41FD"/>
    <w:rsid w:val="002B0612"/>
    <w:rsid w:val="002B7E8F"/>
    <w:rsid w:val="0030007E"/>
    <w:rsid w:val="0031320C"/>
    <w:rsid w:val="00331FA6"/>
    <w:rsid w:val="00351499"/>
    <w:rsid w:val="00393167"/>
    <w:rsid w:val="00397534"/>
    <w:rsid w:val="003A08FD"/>
    <w:rsid w:val="003A4E64"/>
    <w:rsid w:val="003A7A9D"/>
    <w:rsid w:val="003C5326"/>
    <w:rsid w:val="0044477A"/>
    <w:rsid w:val="0044728E"/>
    <w:rsid w:val="00484237"/>
    <w:rsid w:val="00484CC3"/>
    <w:rsid w:val="004B55D0"/>
    <w:rsid w:val="004C075E"/>
    <w:rsid w:val="004F2BC2"/>
    <w:rsid w:val="005028A6"/>
    <w:rsid w:val="00515477"/>
    <w:rsid w:val="005436ED"/>
    <w:rsid w:val="005441F9"/>
    <w:rsid w:val="00556B64"/>
    <w:rsid w:val="00564209"/>
    <w:rsid w:val="00565345"/>
    <w:rsid w:val="005662CA"/>
    <w:rsid w:val="0057189F"/>
    <w:rsid w:val="005B1A65"/>
    <w:rsid w:val="005B34C3"/>
    <w:rsid w:val="005C528A"/>
    <w:rsid w:val="0060708C"/>
    <w:rsid w:val="0066189B"/>
    <w:rsid w:val="006722EC"/>
    <w:rsid w:val="00682806"/>
    <w:rsid w:val="00683639"/>
    <w:rsid w:val="0068606C"/>
    <w:rsid w:val="006A5D1F"/>
    <w:rsid w:val="006C2A89"/>
    <w:rsid w:val="006D3466"/>
    <w:rsid w:val="006D6E3C"/>
    <w:rsid w:val="006E7513"/>
    <w:rsid w:val="006F0967"/>
    <w:rsid w:val="00720DB9"/>
    <w:rsid w:val="00731677"/>
    <w:rsid w:val="007404F7"/>
    <w:rsid w:val="00741DE1"/>
    <w:rsid w:val="007D73FB"/>
    <w:rsid w:val="00803E71"/>
    <w:rsid w:val="00806217"/>
    <w:rsid w:val="00845020"/>
    <w:rsid w:val="0089460B"/>
    <w:rsid w:val="00897FFA"/>
    <w:rsid w:val="008D3544"/>
    <w:rsid w:val="008D7CEF"/>
    <w:rsid w:val="009108DC"/>
    <w:rsid w:val="00915CA5"/>
    <w:rsid w:val="00942090"/>
    <w:rsid w:val="00950887"/>
    <w:rsid w:val="00981382"/>
    <w:rsid w:val="009A765E"/>
    <w:rsid w:val="009E33BC"/>
    <w:rsid w:val="00A079B3"/>
    <w:rsid w:val="00A91994"/>
    <w:rsid w:val="00A948F8"/>
    <w:rsid w:val="00AA70A6"/>
    <w:rsid w:val="00AB02EB"/>
    <w:rsid w:val="00B2048F"/>
    <w:rsid w:val="00B21D97"/>
    <w:rsid w:val="00B430AB"/>
    <w:rsid w:val="00B456E5"/>
    <w:rsid w:val="00B71304"/>
    <w:rsid w:val="00B94311"/>
    <w:rsid w:val="00BA134F"/>
    <w:rsid w:val="00BB3C66"/>
    <w:rsid w:val="00BE044F"/>
    <w:rsid w:val="00BF17BD"/>
    <w:rsid w:val="00BF57E0"/>
    <w:rsid w:val="00C70ABF"/>
    <w:rsid w:val="00C7237E"/>
    <w:rsid w:val="00C84E66"/>
    <w:rsid w:val="00C859F2"/>
    <w:rsid w:val="00CA3BC2"/>
    <w:rsid w:val="00CA56B7"/>
    <w:rsid w:val="00CD1A81"/>
    <w:rsid w:val="00D5011D"/>
    <w:rsid w:val="00D50804"/>
    <w:rsid w:val="00D66D34"/>
    <w:rsid w:val="00D75609"/>
    <w:rsid w:val="00DB05C2"/>
    <w:rsid w:val="00DB6B16"/>
    <w:rsid w:val="00DE3D73"/>
    <w:rsid w:val="00DF47EF"/>
    <w:rsid w:val="00E01133"/>
    <w:rsid w:val="00E06D62"/>
    <w:rsid w:val="00E30F64"/>
    <w:rsid w:val="00E35F08"/>
    <w:rsid w:val="00E41E6B"/>
    <w:rsid w:val="00E661BE"/>
    <w:rsid w:val="00E83C11"/>
    <w:rsid w:val="00E93048"/>
    <w:rsid w:val="00E977C2"/>
    <w:rsid w:val="00EB1713"/>
    <w:rsid w:val="00EC6982"/>
    <w:rsid w:val="00EE3F33"/>
    <w:rsid w:val="00EF7678"/>
    <w:rsid w:val="00F169DA"/>
    <w:rsid w:val="00F316A9"/>
    <w:rsid w:val="00F51351"/>
    <w:rsid w:val="00F558F0"/>
    <w:rsid w:val="00F712E0"/>
    <w:rsid w:val="00FA7722"/>
    <w:rsid w:val="00FC4003"/>
    <w:rsid w:val="00FC6BE6"/>
    <w:rsid w:val="00FD4C99"/>
    <w:rsid w:val="00FE17F4"/>
    <w:rsid w:val="00FE1A9B"/>
    <w:rsid w:val="762D0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120" w:after="120"/>
      <w:outlineLvl w:val="0"/>
    </w:pPr>
    <w:rPr>
      <w:rFonts w:eastAsia="黑体"/>
      <w:kern w:val="36"/>
      <w:sz w:val="36"/>
    </w:rPr>
  </w:style>
  <w:style w:type="paragraph" w:styleId="3">
    <w:name w:val="heading 2"/>
    <w:basedOn w:val="1"/>
    <w:next w:val="4"/>
    <w:qFormat/>
    <w:uiPriority w:val="0"/>
    <w:pPr>
      <w:adjustRightInd w:val="0"/>
      <w:spacing w:before="60" w:after="60"/>
      <w:outlineLvl w:val="1"/>
    </w:pPr>
    <w:rPr>
      <w:rFonts w:ascii="Arial" w:hAnsi="Arial" w:eastAsia="黑体"/>
    </w:rPr>
  </w:style>
  <w:style w:type="paragraph" w:styleId="5">
    <w:name w:val="heading 3"/>
    <w:basedOn w:val="1"/>
    <w:next w:val="4"/>
    <w:qFormat/>
    <w:uiPriority w:val="0"/>
    <w:pPr>
      <w:adjustRightInd w:val="0"/>
      <w:spacing w:before="60" w:after="60"/>
      <w:outlineLvl w:val="2"/>
    </w:pPr>
    <w:rPr>
      <w:b/>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Normal Indent"/>
    <w:basedOn w:val="1"/>
    <w:uiPriority w:val="0"/>
    <w:pPr>
      <w:ind w:firstLine="420"/>
    </w:pPr>
  </w:style>
  <w:style w:type="paragraph" w:styleId="6">
    <w:name w:val="Document Map"/>
    <w:basedOn w:val="1"/>
    <w:semiHidden/>
    <w:uiPriority w:val="0"/>
    <w:pPr>
      <w:shd w:val="clear" w:color="auto" w:fill="000080"/>
    </w:pPr>
  </w:style>
  <w:style w:type="paragraph" w:styleId="7">
    <w:name w:val="Body Text"/>
    <w:basedOn w:val="1"/>
    <w:uiPriority w:val="0"/>
    <w:pPr>
      <w:jc w:val="center"/>
    </w:pPr>
    <w:rPr>
      <w:rFonts w:ascii="方正舒体"/>
      <w:b/>
      <w:color w:val="FF0000"/>
      <w:spacing w:val="80"/>
      <w:sz w:val="96"/>
    </w:rPr>
  </w:style>
  <w:style w:type="paragraph" w:styleId="8">
    <w:name w:val="footer"/>
    <w:basedOn w:val="1"/>
    <w:link w:val="15"/>
    <w:qFormat/>
    <w:uiPriority w:val="99"/>
    <w:pPr>
      <w:tabs>
        <w:tab w:val="center" w:pos="4153"/>
        <w:tab w:val="right" w:pos="8306"/>
      </w:tabs>
      <w:snapToGrid w:val="0"/>
      <w:jc w:val="left"/>
    </w:pPr>
    <w:rPr>
      <w:sz w:val="18"/>
    </w:rPr>
  </w:style>
  <w:style w:type="paragraph" w:styleId="9">
    <w:name w:val="header"/>
    <w:basedOn w:val="1"/>
    <w:uiPriority w:val="0"/>
    <w:pPr>
      <w:pBdr>
        <w:bottom w:val="single" w:color="auto" w:sz="6" w:space="1"/>
      </w:pBdr>
      <w:tabs>
        <w:tab w:val="center" w:pos="4153"/>
        <w:tab w:val="right" w:pos="8306"/>
      </w:tabs>
      <w:snapToGrid w:val="0"/>
      <w:jc w:val="center"/>
    </w:pPr>
    <w:rPr>
      <w:sz w:val="18"/>
    </w:rPr>
  </w:style>
  <w:style w:type="table" w:styleId="11">
    <w:name w:val="Table Grid"/>
    <w:basedOn w:val="10"/>
    <w:qFormat/>
    <w:uiPriority w:val="0"/>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uiPriority w:val="0"/>
  </w:style>
  <w:style w:type="character" w:styleId="14">
    <w:name w:val="annotation reference"/>
    <w:qFormat/>
    <w:uiPriority w:val="0"/>
    <w:rPr>
      <w:sz w:val="21"/>
      <w:szCs w:val="21"/>
    </w:rPr>
  </w:style>
  <w:style w:type="character" w:customStyle="1" w:styleId="15">
    <w:name w:val="页脚 Char"/>
    <w:link w:val="8"/>
    <w:uiPriority w:val="99"/>
    <w:rPr>
      <w:rFonts w:eastAsia="仿宋_GB2312"/>
      <w:kern w:val="2"/>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dministrator.LIUXIU\&#26700;&#38754;\&#38498;&#21457;&#2599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47"/>
    <customShpInfo spid="_x0000_s1044"/>
    <customShpInfo spid="_x0000_s1043"/>
    <customShpInfo spid="_x0000_s1042"/>
    <customShpInfo spid="_x0000_s1041"/>
    <customShpInfo spid="_x0000_s1040"/>
    <customShpInfo spid="_x0000_s1038"/>
    <customShpInfo spid="_x0000_s1037"/>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院发文</Template>
  <Pages>6</Pages>
  <Words>202</Words>
  <Characters>214</Characters>
  <Lines>17</Lines>
  <Paragraphs>4</Paragraphs>
  <TotalTime>0</TotalTime>
  <ScaleCrop>false</ScaleCrop>
  <LinksUpToDate>false</LinksUpToDate>
  <CharactersWithSpaces>238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2025-11-27T03:17:00Z</dcterms:created>
  <dc:creator>郭大军</dc:creator>
  <cp:lastModifiedBy>聚宝盆</cp:lastModifiedBy>
  <cp:lastPrinted>2001-05-16T09:20:00Z</cp:lastPrinted>
  <dcterms:modified xsi:type="dcterms:W3CDTF">2025-11-27T08:38:01Z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06404E2AE32B4EBDA8438B60F572B1DE_13</vt:lpwstr>
  </property>
</Properties>
</file>