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7760" w:rsidRPr="00537760" w:rsidRDefault="00537760" w:rsidP="00537760">
      <w:pPr>
        <w:snapToGrid w:val="0"/>
        <w:spacing w:line="560" w:lineRule="exact"/>
        <w:jc w:val="center"/>
        <w:rPr>
          <w:rFonts w:ascii="仿宋_GB2312"/>
          <w:b/>
          <w:sz w:val="36"/>
          <w:szCs w:val="36"/>
        </w:rPr>
      </w:pPr>
      <w:bookmarkStart w:id="0" w:name="_GoBack"/>
      <w:r w:rsidRPr="00537760">
        <w:rPr>
          <w:rFonts w:ascii="仿宋_GB2312" w:hint="eastAsia"/>
          <w:b/>
          <w:sz w:val="36"/>
          <w:szCs w:val="36"/>
        </w:rPr>
        <w:t>关于填报通用资产配置计划表的通知</w:t>
      </w:r>
    </w:p>
    <w:bookmarkEnd w:id="0"/>
    <w:p w:rsidR="00706587" w:rsidRPr="006B41B6" w:rsidRDefault="00706587" w:rsidP="00706587">
      <w:pPr>
        <w:snapToGrid w:val="0"/>
        <w:spacing w:line="560" w:lineRule="exact"/>
        <w:rPr>
          <w:rFonts w:ascii="仿宋_GB2312"/>
        </w:rPr>
      </w:pPr>
      <w:r>
        <w:rPr>
          <w:rFonts w:ascii="仿宋_GB2312" w:hint="eastAsia"/>
        </w:rPr>
        <w:t>各学院（部），各处、室，</w:t>
      </w:r>
    </w:p>
    <w:p w:rsidR="00706587" w:rsidRDefault="00706587" w:rsidP="00706587">
      <w:pPr>
        <w:spacing w:line="560" w:lineRule="exact"/>
        <w:ind w:firstLineChars="150" w:firstLine="480"/>
        <w:rPr>
          <w:rFonts w:ascii="仿宋_GB2312" w:hAnsi="仿宋_GB2312" w:cs="仿宋_GB2312"/>
          <w:szCs w:val="32"/>
        </w:rPr>
      </w:pPr>
      <w:r>
        <w:rPr>
          <w:rFonts w:ascii="仿宋_GB2312" w:hAnsi="仿宋_GB2312" w:cs="仿宋_GB2312" w:hint="eastAsia"/>
          <w:szCs w:val="32"/>
        </w:rPr>
        <w:t>为贯彻落实《行政事业性国有资产管理条例》，规范资产配置计划管理工作，提高资产配置效能，根据《福建省直行政事业单位资产配置计划管理暂行办法》（闽机管综〔</w:t>
      </w:r>
      <w:r>
        <w:rPr>
          <w:rFonts w:ascii="仿宋_GB2312" w:hAnsi="仿宋_GB2312" w:cs="仿宋_GB2312"/>
          <w:szCs w:val="32"/>
        </w:rPr>
        <w:t>2021</w:t>
      </w:r>
      <w:r>
        <w:rPr>
          <w:rFonts w:ascii="仿宋_GB2312" w:hAnsi="仿宋_GB2312" w:cs="仿宋_GB2312" w:hint="eastAsia"/>
          <w:szCs w:val="32"/>
        </w:rPr>
        <w:t>〕</w:t>
      </w:r>
      <w:r>
        <w:rPr>
          <w:rFonts w:ascii="仿宋_GB2312" w:hAnsi="仿宋_GB2312" w:cs="仿宋_GB2312"/>
          <w:szCs w:val="32"/>
        </w:rPr>
        <w:t>109</w:t>
      </w:r>
      <w:r>
        <w:rPr>
          <w:rFonts w:ascii="仿宋_GB2312" w:hAnsi="仿宋_GB2312" w:cs="仿宋_GB2312" w:hint="eastAsia"/>
          <w:szCs w:val="32"/>
        </w:rPr>
        <w:t>号）及《福建省机关事务管理局关于编报2023年度省直行政事业单位通用资产配置计划的通知》（闽机管综〔</w:t>
      </w:r>
      <w:r>
        <w:rPr>
          <w:rFonts w:ascii="仿宋_GB2312" w:hAnsi="仿宋_GB2312" w:cs="仿宋_GB2312"/>
          <w:szCs w:val="32"/>
        </w:rPr>
        <w:t>202</w:t>
      </w:r>
      <w:r>
        <w:rPr>
          <w:rFonts w:ascii="仿宋_GB2312" w:hAnsi="仿宋_GB2312" w:cs="仿宋_GB2312" w:hint="eastAsia"/>
          <w:szCs w:val="32"/>
        </w:rPr>
        <w:t>2〕48号）有关规定，现就</w:t>
      </w:r>
      <w:r>
        <w:rPr>
          <w:rFonts w:ascii="仿宋_GB2312" w:hAnsi="仿宋_GB2312" w:cs="仿宋_GB2312"/>
          <w:szCs w:val="32"/>
        </w:rPr>
        <w:t>2023</w:t>
      </w:r>
      <w:r>
        <w:rPr>
          <w:rFonts w:ascii="仿宋_GB2312" w:hAnsi="仿宋_GB2312" w:cs="仿宋_GB2312" w:hint="eastAsia"/>
          <w:szCs w:val="32"/>
        </w:rPr>
        <w:t>年度通用资产配置计划编报工作有关事项通知如下：</w:t>
      </w:r>
    </w:p>
    <w:p w:rsidR="00706587" w:rsidRDefault="00706587" w:rsidP="00706587">
      <w:pPr>
        <w:spacing w:line="560" w:lineRule="exact"/>
        <w:rPr>
          <w:rFonts w:ascii="黑体" w:eastAsia="黑体" w:hAnsi="黑体" w:cs="黑体"/>
          <w:szCs w:val="32"/>
        </w:rPr>
      </w:pPr>
      <w:r>
        <w:rPr>
          <w:rFonts w:ascii="黑体" w:eastAsia="黑体" w:hAnsi="黑体" w:cs="黑体" w:hint="eastAsia"/>
          <w:szCs w:val="32"/>
        </w:rPr>
        <w:t>一、编报主体及内容</w:t>
      </w:r>
      <w:r>
        <w:rPr>
          <w:rFonts w:ascii="黑体" w:eastAsia="黑体" w:hAnsi="黑体" w:cs="黑体"/>
          <w:szCs w:val="32"/>
        </w:rPr>
        <w:t> </w:t>
      </w:r>
    </w:p>
    <w:p w:rsidR="00706587" w:rsidRDefault="00706587" w:rsidP="00706587">
      <w:pPr>
        <w:spacing w:line="560" w:lineRule="exact"/>
        <w:ind w:firstLine="640"/>
        <w:rPr>
          <w:rFonts w:ascii="仿宋_GB2312" w:hAnsi="仿宋_GB2312" w:cs="仿宋_GB2312"/>
          <w:szCs w:val="32"/>
        </w:rPr>
      </w:pPr>
      <w:r>
        <w:rPr>
          <w:rFonts w:ascii="仿宋_GB2312" w:hAnsi="仿宋_GB2312" w:cs="仿宋_GB2312" w:hint="eastAsia"/>
          <w:szCs w:val="32"/>
        </w:rPr>
        <w:t>各部门计划利用财政等各种资金购置或利用调剂等各种方式配置通用办公设备（含办公软件）、办公家具等资产事项，包括计划配置数量、金额和方式等。</w:t>
      </w:r>
    </w:p>
    <w:p w:rsidR="00706587" w:rsidRDefault="00706587" w:rsidP="00706587">
      <w:pPr>
        <w:spacing w:line="560" w:lineRule="exact"/>
        <w:rPr>
          <w:rFonts w:ascii="黑体" w:eastAsia="黑体" w:hAnsi="黑体" w:cs="黑体"/>
          <w:szCs w:val="32"/>
        </w:rPr>
      </w:pPr>
      <w:r>
        <w:rPr>
          <w:rFonts w:ascii="黑体" w:eastAsia="黑体" w:hAnsi="黑体" w:cs="黑体" w:hint="eastAsia"/>
          <w:szCs w:val="32"/>
        </w:rPr>
        <w:t>二、编报工作要求</w:t>
      </w:r>
    </w:p>
    <w:p w:rsidR="00706587" w:rsidRDefault="00706587" w:rsidP="00482765">
      <w:pPr>
        <w:spacing w:line="560" w:lineRule="exact"/>
        <w:ind w:firstLineChars="200" w:firstLine="643"/>
        <w:rPr>
          <w:rFonts w:ascii="仿宋_GB2312" w:hAnsi="仿宋_GB2312" w:cs="仿宋_GB2312"/>
          <w:szCs w:val="32"/>
        </w:rPr>
      </w:pPr>
      <w:r w:rsidRPr="006B41B6">
        <w:rPr>
          <w:rFonts w:ascii="楷体_GB2312" w:eastAsia="楷体_GB2312" w:hAnsi="楷体_GB2312" w:cs="楷体_GB2312" w:hint="eastAsia"/>
          <w:b/>
          <w:bCs/>
          <w:szCs w:val="32"/>
        </w:rPr>
        <w:t>（一）编报时点。</w:t>
      </w:r>
      <w:r>
        <w:rPr>
          <w:rFonts w:ascii="仿宋_GB2312" w:hAnsi="仿宋_GB2312" w:cs="仿宋_GB2312" w:hint="eastAsia"/>
          <w:szCs w:val="32"/>
        </w:rPr>
        <w:t>各部门以</w:t>
      </w:r>
      <w:r>
        <w:rPr>
          <w:rFonts w:ascii="仿宋_GB2312" w:hAnsi="仿宋_GB2312" w:cs="仿宋_GB2312"/>
          <w:szCs w:val="32"/>
        </w:rPr>
        <w:t>2022年5月31日为编报基准日，经清查盘点，核实确认</w:t>
      </w:r>
      <w:r>
        <w:rPr>
          <w:rFonts w:ascii="仿宋_GB2312" w:hAnsi="仿宋_GB2312" w:cs="仿宋_GB2312" w:hint="eastAsia"/>
          <w:szCs w:val="32"/>
        </w:rPr>
        <w:t>通用办公设备和办公家具实际数量，在此基础上编报</w:t>
      </w:r>
      <w:r>
        <w:rPr>
          <w:rFonts w:ascii="仿宋_GB2312" w:hAnsi="仿宋_GB2312" w:cs="仿宋_GB2312"/>
          <w:szCs w:val="32"/>
        </w:rPr>
        <w:t>2023年度通用资产配置计划</w:t>
      </w:r>
      <w:r w:rsidR="00482765">
        <w:rPr>
          <w:rFonts w:ascii="仿宋_GB2312" w:hAnsi="仿宋_GB2312" w:cs="仿宋_GB2312" w:hint="eastAsia"/>
          <w:szCs w:val="32"/>
        </w:rPr>
        <w:t>，请各部门于6月8日前将纸质材料（加盖公章）交资产管理处固定资产科，联系人：吴文斌，QQ邮箱：448660338，</w:t>
      </w:r>
      <w:r w:rsidR="00B41036">
        <w:rPr>
          <w:rFonts w:ascii="仿宋_GB2312" w:hAnsi="仿宋_GB2312" w:cs="仿宋_GB2312" w:hint="eastAsia"/>
          <w:szCs w:val="32"/>
        </w:rPr>
        <w:t>办公</w:t>
      </w:r>
      <w:r w:rsidR="00482765">
        <w:rPr>
          <w:rFonts w:ascii="仿宋_GB2312" w:hAnsi="仿宋_GB2312" w:cs="仿宋_GB2312" w:hint="eastAsia"/>
          <w:szCs w:val="32"/>
        </w:rPr>
        <w:t>电话22861085</w:t>
      </w:r>
      <w:r>
        <w:rPr>
          <w:rFonts w:ascii="仿宋_GB2312" w:hAnsi="仿宋_GB2312" w:cs="仿宋_GB2312"/>
          <w:szCs w:val="32"/>
        </w:rPr>
        <w:t>。</w:t>
      </w:r>
    </w:p>
    <w:p w:rsidR="00706587" w:rsidRDefault="00706587" w:rsidP="00482765">
      <w:pPr>
        <w:spacing w:line="560" w:lineRule="exact"/>
        <w:ind w:firstLineChars="200" w:firstLine="643"/>
        <w:rPr>
          <w:rFonts w:ascii="仿宋_GB2312" w:hAnsi="仿宋_GB2312" w:cs="仿宋_GB2312"/>
          <w:szCs w:val="32"/>
        </w:rPr>
      </w:pPr>
      <w:r w:rsidRPr="006B41B6">
        <w:rPr>
          <w:rFonts w:ascii="楷体_GB2312" w:eastAsia="楷体_GB2312" w:hAnsi="楷体_GB2312" w:cs="楷体_GB2312" w:hint="eastAsia"/>
          <w:b/>
          <w:bCs/>
          <w:szCs w:val="32"/>
        </w:rPr>
        <w:t>（二）编报依据。</w:t>
      </w:r>
      <w:r>
        <w:rPr>
          <w:rFonts w:ascii="仿宋_GB2312" w:hAnsi="仿宋_GB2312" w:cs="仿宋_GB2312" w:hint="eastAsia"/>
          <w:szCs w:val="32"/>
        </w:rPr>
        <w:t>各部门根据《关于调整省级行政事业单位通用办公设备和办公家具购置费预算标准的通知》（闽财资〔</w:t>
      </w:r>
      <w:r>
        <w:rPr>
          <w:rFonts w:ascii="仿宋_GB2312" w:hAnsi="仿宋_GB2312" w:cs="仿宋_GB2312"/>
          <w:szCs w:val="32"/>
        </w:rPr>
        <w:t>2021</w:t>
      </w:r>
      <w:r>
        <w:rPr>
          <w:rFonts w:ascii="仿宋_GB2312" w:hAnsi="仿宋_GB2312" w:cs="仿宋_GB2312" w:hint="eastAsia"/>
          <w:szCs w:val="32"/>
        </w:rPr>
        <w:t>〕</w:t>
      </w:r>
      <w:r>
        <w:rPr>
          <w:rFonts w:ascii="仿宋_GB2312" w:hAnsi="仿宋_GB2312" w:cs="仿宋_GB2312"/>
          <w:szCs w:val="32"/>
        </w:rPr>
        <w:t>3</w:t>
      </w:r>
      <w:r>
        <w:rPr>
          <w:rFonts w:ascii="仿宋_GB2312" w:hAnsi="仿宋_GB2312" w:cs="仿宋_GB2312" w:hint="eastAsia"/>
          <w:szCs w:val="32"/>
        </w:rPr>
        <w:t>号）规定的有关资产预算数量和金额标准，编报</w:t>
      </w:r>
      <w:r>
        <w:rPr>
          <w:rFonts w:ascii="仿宋_GB2312" w:hAnsi="仿宋_GB2312" w:cs="仿宋_GB2312"/>
          <w:szCs w:val="32"/>
        </w:rPr>
        <w:t>2023年度《通用资产配置计划表》；同时根据</w:t>
      </w:r>
      <w:r>
        <w:rPr>
          <w:rFonts w:ascii="仿宋_GB2312" w:hAnsi="仿宋_GB2312" w:cs="仿宋_GB2312" w:hint="eastAsia"/>
          <w:szCs w:val="32"/>
        </w:rPr>
        <w:t>本部门</w:t>
      </w:r>
      <w:r>
        <w:rPr>
          <w:rFonts w:ascii="仿宋_GB2312" w:hAnsi="仿宋_GB2312" w:cs="仿宋_GB2312"/>
          <w:szCs w:val="32"/>
        </w:rPr>
        <w:t>定</w:t>
      </w:r>
      <w:r>
        <w:rPr>
          <w:rFonts w:ascii="仿宋_GB2312" w:hAnsi="仿宋_GB2312" w:cs="仿宋_GB2312"/>
          <w:szCs w:val="32"/>
        </w:rPr>
        <w:lastRenderedPageBreak/>
        <w:t>编文件明确的编制人员数、编内在职人员和聘用、劳务派遣、挂职等工作1年以上其他人员等实际情况，以及人员职务分布情况，编报《机构人员情况表》。</w:t>
      </w:r>
    </w:p>
    <w:p w:rsidR="00706587" w:rsidRDefault="00706587" w:rsidP="00482765">
      <w:pPr>
        <w:spacing w:line="560" w:lineRule="exact"/>
        <w:ind w:firstLineChars="150" w:firstLine="482"/>
        <w:rPr>
          <w:rFonts w:ascii="仿宋_GB2312" w:hAnsi="仿宋_GB2312" w:cs="仿宋_GB2312"/>
          <w:szCs w:val="32"/>
        </w:rPr>
      </w:pPr>
      <w:r w:rsidRPr="006B41B6">
        <w:rPr>
          <w:rFonts w:ascii="楷体_GB2312" w:eastAsia="楷体_GB2312" w:hAnsi="楷体_GB2312" w:cs="楷体_GB2312" w:hint="eastAsia"/>
          <w:b/>
          <w:bCs/>
          <w:szCs w:val="32"/>
        </w:rPr>
        <w:t>（三）计划批复。</w:t>
      </w:r>
      <w:r>
        <w:rPr>
          <w:rFonts w:ascii="楷体_GB2312" w:eastAsia="楷体_GB2312" w:hAnsi="楷体_GB2312" w:cs="楷体_GB2312" w:hint="eastAsia"/>
          <w:b/>
          <w:bCs/>
          <w:szCs w:val="32"/>
        </w:rPr>
        <w:t>2023年起，</w:t>
      </w:r>
      <w:r>
        <w:rPr>
          <w:rFonts w:ascii="仿宋_GB2312" w:hAnsi="仿宋_GB2312" w:cs="仿宋_GB2312" w:hint="eastAsia"/>
          <w:szCs w:val="32"/>
        </w:rPr>
        <w:t>各部门通用资产配置计划由省教育厅予以审核批复后方能执行。</w:t>
      </w:r>
    </w:p>
    <w:p w:rsidR="00706587" w:rsidRDefault="00706587" w:rsidP="00482765">
      <w:pPr>
        <w:spacing w:line="560" w:lineRule="exact"/>
        <w:ind w:firstLineChars="150" w:firstLine="482"/>
        <w:rPr>
          <w:rFonts w:ascii="仿宋_GB2312" w:hAnsi="仿宋_GB2312" w:cs="仿宋_GB2312"/>
          <w:szCs w:val="32"/>
        </w:rPr>
      </w:pPr>
      <w:r w:rsidRPr="006B41B6">
        <w:rPr>
          <w:rFonts w:ascii="楷体_GB2312" w:eastAsia="楷体_GB2312" w:hAnsi="楷体_GB2312" w:cs="楷体_GB2312" w:hint="eastAsia"/>
          <w:b/>
          <w:bCs/>
          <w:szCs w:val="32"/>
        </w:rPr>
        <w:t>（四）计划实施。</w:t>
      </w:r>
      <w:r>
        <w:rPr>
          <w:rFonts w:ascii="仿宋_GB2312" w:hAnsi="仿宋_GB2312" w:cs="仿宋_GB2312" w:hint="eastAsia"/>
          <w:szCs w:val="32"/>
        </w:rPr>
        <w:t>各部门依据批复的通用资产配置计划，按照国家有关规定进行配置。未纳入配置计划的，不得配置。没有配置标准的，应当从严控制，避免浪费。</w:t>
      </w:r>
      <w:r>
        <w:rPr>
          <w:rFonts w:ascii="仿宋_GB2312" w:hAnsi="仿宋_GB2312" w:cs="仿宋_GB2312"/>
          <w:szCs w:val="32"/>
        </w:rPr>
        <w:t> </w:t>
      </w:r>
    </w:p>
    <w:p w:rsidR="00706587" w:rsidRDefault="00706587" w:rsidP="00482765">
      <w:pPr>
        <w:adjustRightInd w:val="0"/>
        <w:spacing w:line="560" w:lineRule="exact"/>
        <w:ind w:firstLineChars="150" w:firstLine="482"/>
        <w:rPr>
          <w:rFonts w:ascii="仿宋_GB2312" w:hAnsi="仿宋_GB2312" w:cs="仿宋_GB2312"/>
          <w:szCs w:val="32"/>
        </w:rPr>
      </w:pPr>
      <w:r w:rsidRPr="006B41B6">
        <w:rPr>
          <w:rFonts w:ascii="楷体_GB2312" w:eastAsia="楷体_GB2312" w:hAnsi="楷体_GB2312" w:cs="楷体_GB2312" w:hint="eastAsia"/>
          <w:b/>
          <w:bCs/>
          <w:szCs w:val="32"/>
        </w:rPr>
        <w:t>（五）计划调整。</w:t>
      </w:r>
      <w:r>
        <w:rPr>
          <w:rFonts w:ascii="仿宋_GB2312" w:hAnsi="仿宋_GB2312" w:cs="仿宋_GB2312" w:hint="eastAsia"/>
          <w:szCs w:val="32"/>
        </w:rPr>
        <w:t>各部门因新增内设机构和人员编制、承担专项工作等情形需要调整通用资产配置计划的，应当按规定履行审批手续（</w:t>
      </w:r>
      <w:r>
        <w:rPr>
          <w:rFonts w:ascii="仿宋_GB2312" w:hAnsi="仿宋_GB2312" w:cs="仿宋_GB2312"/>
          <w:szCs w:val="32"/>
        </w:rPr>
        <w:t>通用资产配置计划</w:t>
      </w:r>
      <w:r>
        <w:rPr>
          <w:rFonts w:ascii="仿宋_GB2312" w:hAnsi="仿宋_GB2312" w:cs="仿宋_GB2312" w:hint="eastAsia"/>
          <w:szCs w:val="32"/>
        </w:rPr>
        <w:t>调整表）。</w:t>
      </w:r>
    </w:p>
    <w:p w:rsidR="00706587" w:rsidRDefault="00706587" w:rsidP="00706587">
      <w:pPr>
        <w:spacing w:line="560" w:lineRule="exact"/>
        <w:rPr>
          <w:rFonts w:ascii="仿宋_GB2312" w:hAnsi="仿宋_GB2312" w:cs="仿宋_GB2312"/>
          <w:szCs w:val="32"/>
        </w:rPr>
      </w:pPr>
      <w:r>
        <w:rPr>
          <w:rFonts w:ascii="仿宋_GB2312" w:hAnsi="仿宋_GB2312" w:cs="仿宋_GB2312"/>
          <w:szCs w:val="32"/>
        </w:rPr>
        <w:t>   </w:t>
      </w:r>
    </w:p>
    <w:p w:rsidR="00706587" w:rsidRDefault="00706587" w:rsidP="00706587">
      <w:pPr>
        <w:spacing w:line="560" w:lineRule="exact"/>
        <w:ind w:firstLine="640"/>
        <w:rPr>
          <w:rFonts w:ascii="仿宋_GB2312" w:hAnsi="仿宋_GB2312" w:cs="仿宋_GB2312"/>
          <w:szCs w:val="32"/>
        </w:rPr>
      </w:pPr>
      <w:r>
        <w:rPr>
          <w:rFonts w:ascii="仿宋_GB2312" w:hAnsi="仿宋_GB2312" w:cs="仿宋_GB2312" w:hint="eastAsia"/>
          <w:szCs w:val="32"/>
        </w:rPr>
        <w:t>附件：</w:t>
      </w:r>
      <w:r>
        <w:rPr>
          <w:rFonts w:ascii="仿宋_GB2312" w:hAnsi="仿宋_GB2312" w:cs="仿宋_GB2312"/>
          <w:szCs w:val="32"/>
        </w:rPr>
        <w:t>1.</w:t>
      </w:r>
      <w:r>
        <w:rPr>
          <w:rFonts w:ascii="仿宋_GB2312" w:hAnsi="仿宋_GB2312" w:cs="仿宋_GB2312" w:hint="eastAsia"/>
          <w:szCs w:val="32"/>
        </w:rPr>
        <w:t>通用资产配置计划表</w:t>
      </w:r>
    </w:p>
    <w:p w:rsidR="00706587" w:rsidRDefault="00706587" w:rsidP="00706587">
      <w:pPr>
        <w:spacing w:line="560" w:lineRule="exact"/>
        <w:ind w:firstLine="640"/>
        <w:rPr>
          <w:rFonts w:ascii="仿宋_GB2312" w:hAnsi="仿宋_GB2312" w:cs="仿宋_GB2312"/>
          <w:szCs w:val="32"/>
        </w:rPr>
      </w:pPr>
      <w:r>
        <w:rPr>
          <w:rFonts w:ascii="仿宋_GB2312" w:hAnsi="仿宋_GB2312" w:cs="仿宋_GB2312" w:hint="eastAsia"/>
          <w:szCs w:val="32"/>
        </w:rPr>
        <w:t xml:space="preserve">      2.机构人员情况表</w:t>
      </w:r>
      <w:r>
        <w:rPr>
          <w:rFonts w:ascii="仿宋_GB2312" w:hAnsi="仿宋_GB2312" w:cs="仿宋_GB2312"/>
          <w:szCs w:val="32"/>
        </w:rPr>
        <w:t> </w:t>
      </w:r>
    </w:p>
    <w:p w:rsidR="00706587" w:rsidRDefault="00706587" w:rsidP="00706587">
      <w:pPr>
        <w:spacing w:line="560" w:lineRule="exact"/>
        <w:rPr>
          <w:rFonts w:ascii="仿宋_GB2312" w:hAnsi="仿宋_GB2312" w:cs="仿宋_GB2312"/>
          <w:szCs w:val="32"/>
        </w:rPr>
      </w:pPr>
    </w:p>
    <w:p w:rsidR="00706587" w:rsidRDefault="00706587" w:rsidP="00706587">
      <w:pPr>
        <w:spacing w:line="560" w:lineRule="exact"/>
        <w:rPr>
          <w:rFonts w:ascii="仿宋_GB2312" w:hAnsi="仿宋_GB2312" w:cs="仿宋_GB2312"/>
          <w:szCs w:val="32"/>
        </w:rPr>
      </w:pPr>
    </w:p>
    <w:p w:rsidR="00706587" w:rsidRDefault="00706587" w:rsidP="00706587">
      <w:pPr>
        <w:spacing w:line="800" w:lineRule="exact"/>
        <w:rPr>
          <w:rFonts w:ascii="仿宋_GB2312" w:hAnsi="仿宋_GB2312" w:cs="仿宋_GB2312"/>
          <w:szCs w:val="32"/>
        </w:rPr>
      </w:pPr>
      <w:r>
        <w:rPr>
          <w:rFonts w:ascii="仿宋_GB2312" w:hAnsi="仿宋_GB2312" w:cs="仿宋_GB2312" w:hint="eastAsia"/>
          <w:szCs w:val="32"/>
        </w:rPr>
        <w:t>                                                  </w:t>
      </w:r>
      <w:r w:rsidR="00EF4139">
        <w:rPr>
          <w:rFonts w:ascii="仿宋_GB2312" w:hAnsi="仿宋_GB2312" w:cs="仿宋_GB2312" w:hint="eastAsia"/>
          <w:szCs w:val="32"/>
        </w:rPr>
        <w:t xml:space="preserve">                            </w:t>
      </w:r>
      <w:r>
        <w:rPr>
          <w:rFonts w:ascii="仿宋_GB2312" w:hAnsi="仿宋_GB2312" w:cs="仿宋_GB2312" w:hint="eastAsia"/>
          <w:szCs w:val="32"/>
        </w:rPr>
        <w:t>资产管理处 </w:t>
      </w:r>
    </w:p>
    <w:p w:rsidR="00706587" w:rsidRDefault="00706587" w:rsidP="00706587">
      <w:pPr>
        <w:spacing w:line="800" w:lineRule="exact"/>
        <w:ind w:firstLineChars="1300" w:firstLine="4160"/>
        <w:rPr>
          <w:rFonts w:ascii="仿宋_GB2312" w:hAnsi="仿宋_GB2312" w:cs="仿宋_GB2312"/>
          <w:szCs w:val="32"/>
        </w:rPr>
      </w:pPr>
      <w:r>
        <w:rPr>
          <w:rFonts w:ascii="仿宋_GB2312" w:hAnsi="仿宋_GB2312" w:cs="仿宋_GB2312" w:hint="eastAsia"/>
          <w:szCs w:val="32"/>
        </w:rPr>
        <w:t>2022年5月26日</w:t>
      </w:r>
    </w:p>
    <w:p w:rsidR="00732A1B" w:rsidRDefault="00732A1B"/>
    <w:p w:rsidR="007A1AF1" w:rsidRDefault="007A1AF1"/>
    <w:p w:rsidR="007A1AF1" w:rsidRDefault="007A1AF1"/>
    <w:p w:rsidR="007A1AF1" w:rsidRDefault="007A1AF1"/>
    <w:p w:rsidR="007A1AF1" w:rsidRDefault="007A1AF1"/>
    <w:p w:rsidR="007A1AF1" w:rsidRDefault="007A1AF1"/>
    <w:p w:rsidR="007A1AF1" w:rsidRDefault="007A1AF1"/>
    <w:p w:rsidR="007A1AF1" w:rsidRDefault="007A1AF1"/>
    <w:p w:rsidR="007A1AF1" w:rsidRDefault="007A1AF1"/>
    <w:p w:rsidR="007A1AF1" w:rsidRDefault="007A1AF1">
      <w:r>
        <w:rPr>
          <w:noProof/>
        </w:rPr>
        <w:drawing>
          <wp:inline distT="0" distB="0" distL="0" distR="0">
            <wp:extent cx="5274310" cy="3429844"/>
            <wp:effectExtent l="19050" t="0" r="2540" b="0"/>
            <wp:docPr id="1" name="图片 1" descr="附件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附件1-2"/>
                    <pic:cNvPicPr>
                      <a:picLocks noChangeAspect="1" noChangeArrowheads="1"/>
                    </pic:cNvPicPr>
                  </pic:nvPicPr>
                  <pic:blipFill>
                    <a:blip r:embed="rId6"/>
                    <a:srcRect/>
                    <a:stretch>
                      <a:fillRect/>
                    </a:stretch>
                  </pic:blipFill>
                  <pic:spPr bwMode="auto">
                    <a:xfrm>
                      <a:off x="0" y="0"/>
                      <a:ext cx="5274310" cy="3429844"/>
                    </a:xfrm>
                    <a:prstGeom prst="rect">
                      <a:avLst/>
                    </a:prstGeom>
                    <a:noFill/>
                    <a:ln w="9525">
                      <a:noFill/>
                      <a:miter lim="800000"/>
                      <a:headEnd/>
                      <a:tailEnd/>
                    </a:ln>
                  </pic:spPr>
                </pic:pic>
              </a:graphicData>
            </a:graphic>
          </wp:inline>
        </w:drawing>
      </w:r>
    </w:p>
    <w:p w:rsidR="007A1AF1" w:rsidRDefault="007A1AF1"/>
    <w:p w:rsidR="007A1AF1" w:rsidRDefault="007A1AF1">
      <w:r>
        <w:rPr>
          <w:noProof/>
        </w:rPr>
        <w:lastRenderedPageBreak/>
        <w:drawing>
          <wp:inline distT="0" distB="0" distL="0" distR="0">
            <wp:extent cx="5274310" cy="3188983"/>
            <wp:effectExtent l="19050" t="0" r="2540" b="0"/>
            <wp:docPr id="4" name="图片 4" descr="附件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附件1-3"/>
                    <pic:cNvPicPr>
                      <a:picLocks noChangeAspect="1" noChangeArrowheads="1"/>
                    </pic:cNvPicPr>
                  </pic:nvPicPr>
                  <pic:blipFill>
                    <a:blip r:embed="rId7"/>
                    <a:srcRect/>
                    <a:stretch>
                      <a:fillRect/>
                    </a:stretch>
                  </pic:blipFill>
                  <pic:spPr bwMode="auto">
                    <a:xfrm>
                      <a:off x="0" y="0"/>
                      <a:ext cx="5274310" cy="3188983"/>
                    </a:xfrm>
                    <a:prstGeom prst="rect">
                      <a:avLst/>
                    </a:prstGeom>
                    <a:noFill/>
                    <a:ln w="9525">
                      <a:noFill/>
                      <a:miter lim="800000"/>
                      <a:headEnd/>
                      <a:tailEnd/>
                    </a:ln>
                  </pic:spPr>
                </pic:pic>
              </a:graphicData>
            </a:graphic>
          </wp:inline>
        </w:drawing>
      </w:r>
    </w:p>
    <w:p w:rsidR="007A1AF1" w:rsidRDefault="007A1AF1"/>
    <w:p w:rsidR="007A1AF1" w:rsidRDefault="007A1AF1"/>
    <w:p w:rsidR="007A1AF1" w:rsidRDefault="007A1AF1"/>
    <w:p w:rsidR="007A1AF1" w:rsidRDefault="007A1AF1"/>
    <w:p w:rsidR="007A1AF1" w:rsidRDefault="007A1AF1">
      <w:r>
        <w:rPr>
          <w:noProof/>
        </w:rPr>
        <w:drawing>
          <wp:inline distT="0" distB="0" distL="0" distR="0">
            <wp:extent cx="5274310" cy="3262521"/>
            <wp:effectExtent l="19050" t="0" r="2540" b="0"/>
            <wp:docPr id="7" name="图片 7" descr="附件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附件1-4"/>
                    <pic:cNvPicPr>
                      <a:picLocks noChangeAspect="1" noChangeArrowheads="1"/>
                    </pic:cNvPicPr>
                  </pic:nvPicPr>
                  <pic:blipFill>
                    <a:blip r:embed="rId8"/>
                    <a:srcRect/>
                    <a:stretch>
                      <a:fillRect/>
                    </a:stretch>
                  </pic:blipFill>
                  <pic:spPr bwMode="auto">
                    <a:xfrm>
                      <a:off x="0" y="0"/>
                      <a:ext cx="5274310" cy="3262521"/>
                    </a:xfrm>
                    <a:prstGeom prst="rect">
                      <a:avLst/>
                    </a:prstGeom>
                    <a:noFill/>
                    <a:ln w="9525">
                      <a:noFill/>
                      <a:miter lim="800000"/>
                      <a:headEnd/>
                      <a:tailEnd/>
                    </a:ln>
                  </pic:spPr>
                </pic:pic>
              </a:graphicData>
            </a:graphic>
          </wp:inline>
        </w:drawing>
      </w:r>
    </w:p>
    <w:p w:rsidR="007A1AF1" w:rsidRDefault="007A1AF1"/>
    <w:p w:rsidR="007A1AF1" w:rsidRDefault="007A1AF1"/>
    <w:p w:rsidR="007A1AF1" w:rsidRDefault="007A1AF1"/>
    <w:p w:rsidR="007A1AF1" w:rsidRDefault="007A1AF1"/>
    <w:p w:rsidR="007A1AF1" w:rsidRDefault="007A1AF1"/>
    <w:p w:rsidR="007A1AF1" w:rsidRDefault="007A1AF1"/>
    <w:p w:rsidR="007A1AF1" w:rsidRDefault="007A1AF1"/>
    <w:p w:rsidR="007A1AF1" w:rsidRDefault="007A1AF1"/>
    <w:p w:rsidR="007A1AF1" w:rsidRDefault="007A1AF1"/>
    <w:p w:rsidR="007A1AF1" w:rsidRDefault="007A1AF1"/>
    <w:p w:rsidR="007A1AF1" w:rsidRDefault="007A1AF1"/>
    <w:p w:rsidR="007A1AF1" w:rsidRDefault="007A1AF1"/>
    <w:p w:rsidR="007A1AF1" w:rsidRDefault="007A1AF1"/>
    <w:p w:rsidR="007A1AF1" w:rsidRDefault="007A1AF1"/>
    <w:p w:rsidR="007A1AF1" w:rsidRDefault="007A1AF1"/>
    <w:p w:rsidR="007A1AF1" w:rsidRDefault="007A1AF1"/>
    <w:p w:rsidR="007A1AF1" w:rsidRDefault="007A1AF1"/>
    <w:p w:rsidR="007A1AF1" w:rsidRDefault="007A1AF1"/>
    <w:p w:rsidR="007A1AF1" w:rsidRDefault="007A1AF1"/>
    <w:p w:rsidR="007A1AF1" w:rsidRDefault="007A1AF1"/>
    <w:p w:rsidR="007A1AF1" w:rsidRDefault="007A1AF1"/>
    <w:p w:rsidR="007A1AF1" w:rsidRDefault="007A1AF1"/>
    <w:sectPr w:rsidR="007A1AF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913" w:rsidRDefault="00577913" w:rsidP="00706587">
      <w:r>
        <w:separator/>
      </w:r>
    </w:p>
  </w:endnote>
  <w:endnote w:type="continuationSeparator" w:id="0">
    <w:p w:rsidR="00577913" w:rsidRDefault="00577913" w:rsidP="00706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913" w:rsidRDefault="00577913" w:rsidP="00706587">
      <w:r>
        <w:separator/>
      </w:r>
    </w:p>
  </w:footnote>
  <w:footnote w:type="continuationSeparator" w:id="0">
    <w:p w:rsidR="00577913" w:rsidRDefault="00577913" w:rsidP="007065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06587"/>
    <w:rsid w:val="00482765"/>
    <w:rsid w:val="00537760"/>
    <w:rsid w:val="00577913"/>
    <w:rsid w:val="00706587"/>
    <w:rsid w:val="00732A1B"/>
    <w:rsid w:val="007A1AF1"/>
    <w:rsid w:val="00966FAC"/>
    <w:rsid w:val="00B41036"/>
    <w:rsid w:val="00EF4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9D65E"/>
  <w15:docId w15:val="{640CDC0D-1498-4404-BC39-CB957EC5F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06587"/>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0658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semiHidden/>
    <w:rsid w:val="00706587"/>
    <w:rPr>
      <w:sz w:val="18"/>
      <w:szCs w:val="18"/>
    </w:rPr>
  </w:style>
  <w:style w:type="paragraph" w:styleId="a5">
    <w:name w:val="footer"/>
    <w:basedOn w:val="a"/>
    <w:link w:val="a6"/>
    <w:uiPriority w:val="99"/>
    <w:semiHidden/>
    <w:unhideWhenUsed/>
    <w:rsid w:val="0070658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semiHidden/>
    <w:rsid w:val="00706587"/>
    <w:rPr>
      <w:sz w:val="18"/>
      <w:szCs w:val="18"/>
    </w:rPr>
  </w:style>
  <w:style w:type="paragraph" w:styleId="a7">
    <w:name w:val="Balloon Text"/>
    <w:basedOn w:val="a"/>
    <w:link w:val="a8"/>
    <w:uiPriority w:val="99"/>
    <w:semiHidden/>
    <w:unhideWhenUsed/>
    <w:rsid w:val="007A1AF1"/>
    <w:rPr>
      <w:sz w:val="18"/>
      <w:szCs w:val="18"/>
    </w:rPr>
  </w:style>
  <w:style w:type="character" w:customStyle="1" w:styleId="a8">
    <w:name w:val="批注框文本 字符"/>
    <w:basedOn w:val="a0"/>
    <w:link w:val="a7"/>
    <w:uiPriority w:val="99"/>
    <w:semiHidden/>
    <w:rsid w:val="007A1AF1"/>
    <w:rPr>
      <w:rFonts w:ascii="Times New Roman" w:eastAsia="仿宋_GB2312"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147</Words>
  <Characters>839</Characters>
  <Application>Microsoft Office Word</Application>
  <DocSecurity>0</DocSecurity>
  <Lines>6</Lines>
  <Paragraphs>1</Paragraphs>
  <ScaleCrop>false</ScaleCrop>
  <Company>Microsoft</Company>
  <LinksUpToDate>false</LinksUpToDate>
  <CharactersWithSpaces>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Lenovo</cp:lastModifiedBy>
  <cp:revision>7</cp:revision>
  <dcterms:created xsi:type="dcterms:W3CDTF">2022-05-24T08:15:00Z</dcterms:created>
  <dcterms:modified xsi:type="dcterms:W3CDTF">2022-05-26T06:38:00Z</dcterms:modified>
</cp:coreProperties>
</file>